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215A" w14:textId="77777777" w:rsidR="00E93731" w:rsidRPr="00FC7FEB" w:rsidRDefault="00E93731" w:rsidP="00E93731">
      <w:pPr>
        <w:rPr>
          <w:rFonts w:ascii="TyponineSans Reg" w:hAnsi="TyponineSans Reg"/>
          <w:b/>
          <w:color w:val="FF0000"/>
          <w:sz w:val="24"/>
        </w:rPr>
      </w:pPr>
      <w:bookmarkStart w:id="0" w:name="_Hlk94465267"/>
      <w:bookmarkEnd w:id="0"/>
    </w:p>
    <w:p w14:paraId="5D74C792" w14:textId="64A92DC1" w:rsidR="005C1ED8" w:rsidRPr="00FC7FEB" w:rsidRDefault="000B6CC6" w:rsidP="00054365">
      <w:pPr>
        <w:jc w:val="right"/>
        <w:rPr>
          <w:rFonts w:ascii="TyponineSans Reg" w:hAnsi="TyponineSans Reg"/>
          <w:b/>
          <w:color w:val="FF0000"/>
          <w:sz w:val="24"/>
        </w:rPr>
      </w:pPr>
      <w:r w:rsidRPr="00FC7FEB">
        <w:rPr>
          <w:rFonts w:ascii="TyponineSans Reg" w:hAnsi="TyponineSans Reg"/>
          <w:color w:val="FF0000"/>
        </w:rPr>
        <w:drawing>
          <wp:anchor distT="0" distB="0" distL="114300" distR="114300" simplePos="0" relativeHeight="251666432" behindDoc="0" locked="0" layoutInCell="1" allowOverlap="1" wp14:anchorId="086DC061" wp14:editId="0B72EEE8">
            <wp:simplePos x="0" y="0"/>
            <wp:positionH relativeFrom="column">
              <wp:posOffset>3547524</wp:posOffset>
            </wp:positionH>
            <wp:positionV relativeFrom="paragraph">
              <wp:posOffset>-911</wp:posOffset>
            </wp:positionV>
            <wp:extent cx="2212975" cy="629285"/>
            <wp:effectExtent l="0" t="0" r="0" b="0"/>
            <wp:wrapSquare wrapText="bothSides"/>
            <wp:docPr id="1" name="Picture 1" descr="NP_brijuni_logo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_brijuni_logo-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1ED8" w:rsidRPr="00FC7FEB">
        <w:rPr>
          <w:rFonts w:ascii="TyponineSans Reg" w:hAnsi="TyponineSans Reg"/>
          <w:b/>
          <w:color w:val="FF0000"/>
          <w:sz w:val="24"/>
        </w:rPr>
        <w:t xml:space="preserve">    </w:t>
      </w:r>
    </w:p>
    <w:p w14:paraId="64191277" w14:textId="2E9D665F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30E644AF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0CE5C52B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65C9C30F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084CF862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0BE18A97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668E852A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049792F3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45ED1CF7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347CFB69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39C5B027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7003AD2B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58174521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0FC3DC3B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67E483B8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449E2434" w14:textId="77777777" w:rsidR="005C1ED8" w:rsidRPr="00307E1B" w:rsidRDefault="005C1ED8">
      <w:pPr>
        <w:pStyle w:val="Heading2"/>
        <w:rPr>
          <w:rFonts w:ascii="TyponineSans Reg" w:hAnsi="TyponineSans Reg"/>
          <w:b w:val="0"/>
          <w:color w:val="000000" w:themeColor="text1"/>
          <w:szCs w:val="36"/>
        </w:rPr>
      </w:pPr>
      <w:r w:rsidRPr="00307E1B">
        <w:rPr>
          <w:rFonts w:ascii="TyponineSans Reg" w:hAnsi="TyponineSans Reg"/>
          <w:b w:val="0"/>
          <w:color w:val="000000" w:themeColor="text1"/>
          <w:szCs w:val="36"/>
        </w:rPr>
        <w:t>Bilješke uz financijske izvještaje</w:t>
      </w:r>
    </w:p>
    <w:p w14:paraId="01DFAA1F" w14:textId="77777777" w:rsidR="005C1ED8" w:rsidRPr="00307E1B" w:rsidRDefault="005C1ED8">
      <w:pPr>
        <w:pStyle w:val="Heading7"/>
        <w:rPr>
          <w:rFonts w:ascii="TyponineSans Reg" w:hAnsi="TyponineSans Reg"/>
          <w:b w:val="0"/>
          <w:i w:val="0"/>
          <w:color w:val="000000" w:themeColor="text1"/>
          <w:sz w:val="36"/>
          <w:szCs w:val="36"/>
        </w:rPr>
      </w:pPr>
      <w:r w:rsidRPr="00307E1B">
        <w:rPr>
          <w:rFonts w:ascii="TyponineSans Reg" w:hAnsi="TyponineSans Reg"/>
          <w:b w:val="0"/>
          <w:i w:val="0"/>
          <w:color w:val="000000" w:themeColor="text1"/>
          <w:sz w:val="36"/>
          <w:szCs w:val="36"/>
        </w:rPr>
        <w:t>Javne ustanove Nacionalni park Brijuni</w:t>
      </w:r>
    </w:p>
    <w:p w14:paraId="7C8E28D2" w14:textId="77777777" w:rsidR="005C1ED8" w:rsidRPr="00307E1B" w:rsidRDefault="005C1ED8">
      <w:pPr>
        <w:jc w:val="center"/>
        <w:rPr>
          <w:rFonts w:ascii="TyponineSans Reg" w:hAnsi="TyponineSans Reg"/>
          <w:color w:val="000000" w:themeColor="text1"/>
          <w:sz w:val="36"/>
          <w:szCs w:val="36"/>
        </w:rPr>
      </w:pPr>
    </w:p>
    <w:p w14:paraId="74C0FE05" w14:textId="28234A80" w:rsidR="005C1ED8" w:rsidRPr="00307E1B" w:rsidRDefault="005C1ED8">
      <w:pPr>
        <w:pStyle w:val="Heading1"/>
        <w:rPr>
          <w:rFonts w:ascii="TyponineSans Reg" w:hAnsi="TyponineSans Reg"/>
          <w:b w:val="0"/>
          <w:color w:val="000000" w:themeColor="text1"/>
          <w:sz w:val="36"/>
          <w:szCs w:val="36"/>
        </w:rPr>
      </w:pPr>
      <w:r w:rsidRPr="00307E1B">
        <w:rPr>
          <w:rFonts w:ascii="TyponineSans Reg" w:hAnsi="TyponineSans Reg"/>
          <w:b w:val="0"/>
          <w:color w:val="000000" w:themeColor="text1"/>
          <w:sz w:val="36"/>
          <w:szCs w:val="36"/>
        </w:rPr>
        <w:t xml:space="preserve">za </w:t>
      </w:r>
      <w:r w:rsidR="005C17F0" w:rsidRPr="00307E1B">
        <w:rPr>
          <w:rFonts w:ascii="TyponineSans Reg" w:hAnsi="TyponineSans Reg"/>
          <w:b w:val="0"/>
          <w:color w:val="000000" w:themeColor="text1"/>
          <w:sz w:val="36"/>
          <w:szCs w:val="36"/>
        </w:rPr>
        <w:t>razdoblje od 01</w:t>
      </w:r>
      <w:r w:rsidR="003A6816" w:rsidRPr="00307E1B">
        <w:rPr>
          <w:rFonts w:ascii="TyponineSans Reg" w:hAnsi="TyponineSans Reg"/>
          <w:b w:val="0"/>
          <w:color w:val="000000" w:themeColor="text1"/>
          <w:sz w:val="36"/>
          <w:szCs w:val="36"/>
        </w:rPr>
        <w:t>. siječnja – 31</w:t>
      </w:r>
      <w:r w:rsidR="00106FC4" w:rsidRPr="00307E1B">
        <w:rPr>
          <w:rFonts w:ascii="TyponineSans Reg" w:hAnsi="TyponineSans Reg"/>
          <w:b w:val="0"/>
          <w:color w:val="000000" w:themeColor="text1"/>
          <w:sz w:val="36"/>
          <w:szCs w:val="36"/>
        </w:rPr>
        <w:t xml:space="preserve">. </w:t>
      </w:r>
      <w:r w:rsidR="003A6816" w:rsidRPr="00307E1B">
        <w:rPr>
          <w:rFonts w:ascii="TyponineSans Reg" w:hAnsi="TyponineSans Reg"/>
          <w:b w:val="0"/>
          <w:color w:val="000000" w:themeColor="text1"/>
          <w:sz w:val="36"/>
          <w:szCs w:val="36"/>
        </w:rPr>
        <w:t>prosinca</w:t>
      </w:r>
      <w:r w:rsidR="00106FC4" w:rsidRPr="00307E1B">
        <w:rPr>
          <w:rFonts w:ascii="TyponineSans Reg" w:hAnsi="TyponineSans Reg"/>
          <w:b w:val="0"/>
          <w:color w:val="000000" w:themeColor="text1"/>
          <w:sz w:val="36"/>
          <w:szCs w:val="36"/>
        </w:rPr>
        <w:t xml:space="preserve"> </w:t>
      </w:r>
      <w:r w:rsidR="003A30DC" w:rsidRPr="00307E1B">
        <w:rPr>
          <w:rFonts w:ascii="TyponineSans Reg" w:hAnsi="TyponineSans Reg"/>
          <w:b w:val="0"/>
          <w:color w:val="000000" w:themeColor="text1"/>
          <w:sz w:val="36"/>
          <w:szCs w:val="36"/>
        </w:rPr>
        <w:t>20</w:t>
      </w:r>
      <w:r w:rsidR="00E85B59" w:rsidRPr="00307E1B">
        <w:rPr>
          <w:rFonts w:ascii="TyponineSans Reg" w:hAnsi="TyponineSans Reg"/>
          <w:b w:val="0"/>
          <w:color w:val="000000" w:themeColor="text1"/>
          <w:sz w:val="36"/>
          <w:szCs w:val="36"/>
        </w:rPr>
        <w:t>2</w:t>
      </w:r>
      <w:r w:rsidR="00307E1B" w:rsidRPr="00307E1B">
        <w:rPr>
          <w:rFonts w:ascii="TyponineSans Reg" w:hAnsi="TyponineSans Reg"/>
          <w:b w:val="0"/>
          <w:color w:val="000000" w:themeColor="text1"/>
          <w:sz w:val="36"/>
          <w:szCs w:val="36"/>
        </w:rPr>
        <w:t>4</w:t>
      </w:r>
      <w:r w:rsidR="005C17F0" w:rsidRPr="00307E1B">
        <w:rPr>
          <w:rFonts w:ascii="TyponineSans Reg" w:hAnsi="TyponineSans Reg"/>
          <w:b w:val="0"/>
          <w:color w:val="000000" w:themeColor="text1"/>
          <w:sz w:val="36"/>
          <w:szCs w:val="36"/>
        </w:rPr>
        <w:t>. godine</w:t>
      </w:r>
    </w:p>
    <w:p w14:paraId="2ADDEECB" w14:textId="77777777" w:rsidR="005C17F0" w:rsidRPr="00307E1B" w:rsidRDefault="005C17F0" w:rsidP="005C17F0">
      <w:pPr>
        <w:rPr>
          <w:rFonts w:ascii="TyponineSans Reg" w:hAnsi="TyponineSans Reg"/>
          <w:color w:val="000000" w:themeColor="text1"/>
        </w:rPr>
      </w:pPr>
    </w:p>
    <w:p w14:paraId="1F1EA7A8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76129D90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43338CBB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2BAABFAC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5087E5E0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088AABA7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4AE7E103" w14:textId="77777777" w:rsidR="005C17F0" w:rsidRPr="00FC7FEB" w:rsidRDefault="005C17F0">
      <w:pPr>
        <w:rPr>
          <w:rFonts w:ascii="TyponineSans Reg" w:hAnsi="TyponineSans Reg"/>
          <w:color w:val="FF0000"/>
          <w:sz w:val="24"/>
        </w:rPr>
      </w:pPr>
    </w:p>
    <w:p w14:paraId="3CB00489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47AACA72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7E25469C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7712CEA5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278E9970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24A11D27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53E8353D" w14:textId="77777777" w:rsidR="005C1ED8" w:rsidRPr="00FC7FEB" w:rsidRDefault="005C1ED8">
      <w:pPr>
        <w:rPr>
          <w:rFonts w:ascii="TyponineSans Reg" w:hAnsi="TyponineSans Reg"/>
          <w:color w:val="FF0000"/>
          <w:sz w:val="24"/>
        </w:rPr>
      </w:pPr>
    </w:p>
    <w:p w14:paraId="0E4F375C" w14:textId="77777777" w:rsidR="005C1ED8" w:rsidRPr="00FC7FEB" w:rsidRDefault="005C1ED8">
      <w:pPr>
        <w:jc w:val="center"/>
        <w:rPr>
          <w:rFonts w:ascii="TyponineSans Reg" w:hAnsi="TyponineSans Reg"/>
          <w:b/>
          <w:color w:val="FF0000"/>
          <w:sz w:val="24"/>
        </w:rPr>
      </w:pPr>
    </w:p>
    <w:p w14:paraId="100B81DE" w14:textId="77777777" w:rsidR="00116BCC" w:rsidRPr="00FC7FEB" w:rsidRDefault="00116BCC">
      <w:pPr>
        <w:jc w:val="center"/>
        <w:rPr>
          <w:rFonts w:ascii="TyponineSans Reg" w:hAnsi="TyponineSans Reg"/>
          <w:b/>
          <w:color w:val="FF0000"/>
          <w:sz w:val="24"/>
        </w:rPr>
      </w:pPr>
    </w:p>
    <w:p w14:paraId="2481D307" w14:textId="77777777" w:rsidR="00116BCC" w:rsidRPr="00FC7FEB" w:rsidRDefault="00116BCC">
      <w:pPr>
        <w:jc w:val="center"/>
        <w:rPr>
          <w:rFonts w:ascii="TyponineSans Reg" w:hAnsi="TyponineSans Reg"/>
          <w:b/>
          <w:color w:val="FF0000"/>
          <w:sz w:val="24"/>
        </w:rPr>
      </w:pPr>
    </w:p>
    <w:p w14:paraId="238981EC" w14:textId="77777777" w:rsidR="00116BCC" w:rsidRPr="00FC7FEB" w:rsidRDefault="00116BCC">
      <w:pPr>
        <w:jc w:val="center"/>
        <w:rPr>
          <w:rFonts w:ascii="TyponineSans Reg" w:hAnsi="TyponineSans Reg"/>
          <w:b/>
          <w:color w:val="FF0000"/>
          <w:sz w:val="24"/>
        </w:rPr>
      </w:pPr>
    </w:p>
    <w:p w14:paraId="6D49EE0F" w14:textId="77777777" w:rsidR="005C1ED8" w:rsidRPr="00FC7FEB" w:rsidRDefault="005C1ED8">
      <w:pPr>
        <w:jc w:val="center"/>
        <w:rPr>
          <w:rFonts w:ascii="TyponineSans Reg" w:hAnsi="TyponineSans Reg"/>
          <w:b/>
          <w:color w:val="FF0000"/>
          <w:sz w:val="24"/>
        </w:rPr>
      </w:pPr>
    </w:p>
    <w:p w14:paraId="257B9F7E" w14:textId="77777777" w:rsidR="005C1ED8" w:rsidRPr="00FC7FEB" w:rsidRDefault="005C1ED8">
      <w:pPr>
        <w:rPr>
          <w:rFonts w:ascii="TyponineSans Reg" w:hAnsi="TyponineSans Reg"/>
          <w:b/>
          <w:color w:val="FF0000"/>
          <w:sz w:val="24"/>
        </w:rPr>
      </w:pPr>
    </w:p>
    <w:p w14:paraId="12A27241" w14:textId="1DB088A0" w:rsidR="009761AC" w:rsidRPr="00307E1B" w:rsidRDefault="003A6816" w:rsidP="00B51591">
      <w:pPr>
        <w:jc w:val="center"/>
        <w:rPr>
          <w:rFonts w:ascii="TyponineSans Reg" w:hAnsi="TyponineSans Reg"/>
          <w:color w:val="000000" w:themeColor="text1"/>
          <w:sz w:val="24"/>
        </w:rPr>
      </w:pPr>
      <w:r w:rsidRPr="00307E1B">
        <w:rPr>
          <w:rFonts w:ascii="TyponineSans Reg" w:hAnsi="TyponineSans Reg"/>
          <w:color w:val="000000" w:themeColor="text1"/>
          <w:sz w:val="24"/>
        </w:rPr>
        <w:t xml:space="preserve">Brijuni, </w:t>
      </w:r>
      <w:r w:rsidR="003A30DC" w:rsidRPr="00307E1B">
        <w:rPr>
          <w:rFonts w:ascii="TyponineSans Reg" w:hAnsi="TyponineSans Reg"/>
          <w:color w:val="000000" w:themeColor="text1"/>
          <w:sz w:val="24"/>
        </w:rPr>
        <w:t>siječanj 20</w:t>
      </w:r>
      <w:r w:rsidR="008C5DBF" w:rsidRPr="00307E1B">
        <w:rPr>
          <w:rFonts w:ascii="TyponineSans Reg" w:hAnsi="TyponineSans Reg"/>
          <w:color w:val="000000" w:themeColor="text1"/>
          <w:sz w:val="24"/>
        </w:rPr>
        <w:t>2</w:t>
      </w:r>
      <w:r w:rsidR="00307E1B">
        <w:rPr>
          <w:rFonts w:ascii="TyponineSans Reg" w:hAnsi="TyponineSans Reg"/>
          <w:color w:val="000000" w:themeColor="text1"/>
          <w:sz w:val="24"/>
        </w:rPr>
        <w:t>5</w:t>
      </w:r>
    </w:p>
    <w:p w14:paraId="3A29E925" w14:textId="7D1D2E9C" w:rsidR="00473F5A" w:rsidRPr="00307E1B" w:rsidRDefault="00473F5A" w:rsidP="009761AC">
      <w:pPr>
        <w:rPr>
          <w:rFonts w:ascii="TyponineSans Reg" w:hAnsi="TyponineSans Reg"/>
          <w:color w:val="000000" w:themeColor="text1"/>
          <w:sz w:val="24"/>
        </w:rPr>
      </w:pPr>
    </w:p>
    <w:p w14:paraId="29631516" w14:textId="77777777" w:rsidR="00F6732C" w:rsidRPr="00FC7FEB" w:rsidRDefault="00F6732C" w:rsidP="00697490">
      <w:pPr>
        <w:rPr>
          <w:rFonts w:ascii="TyponineSans Reg" w:hAnsi="TyponineSans Reg"/>
          <w:b/>
          <w:color w:val="FF0000"/>
          <w:sz w:val="24"/>
        </w:rPr>
      </w:pPr>
    </w:p>
    <w:p w14:paraId="227EF176" w14:textId="77777777" w:rsidR="00F6732C" w:rsidRPr="00FC7FEB" w:rsidRDefault="00F6732C" w:rsidP="00697490">
      <w:pPr>
        <w:rPr>
          <w:rFonts w:ascii="TyponineSans Reg" w:hAnsi="TyponineSans Reg"/>
          <w:b/>
          <w:color w:val="FF0000"/>
          <w:sz w:val="24"/>
        </w:rPr>
      </w:pPr>
    </w:p>
    <w:p w14:paraId="1969798B" w14:textId="77777777" w:rsidR="00F6732C" w:rsidRPr="00FC7FEB" w:rsidRDefault="00F6732C" w:rsidP="00697490">
      <w:pPr>
        <w:rPr>
          <w:rFonts w:ascii="TyponineSans Reg" w:hAnsi="TyponineSans Reg"/>
          <w:b/>
          <w:color w:val="FF0000"/>
          <w:sz w:val="24"/>
        </w:rPr>
      </w:pPr>
    </w:p>
    <w:p w14:paraId="08F9B4DC" w14:textId="77777777" w:rsidR="00F6732C" w:rsidRPr="00FC7FEB" w:rsidRDefault="00F6732C" w:rsidP="00697490">
      <w:pPr>
        <w:rPr>
          <w:rFonts w:ascii="TyponineSans Reg" w:hAnsi="TyponineSans Reg"/>
          <w:b/>
          <w:color w:val="FF0000"/>
          <w:sz w:val="24"/>
        </w:rPr>
      </w:pPr>
    </w:p>
    <w:p w14:paraId="719AA9A9" w14:textId="77777777" w:rsidR="00F6732C" w:rsidRPr="00FC7FEB" w:rsidRDefault="00F6732C" w:rsidP="00697490">
      <w:pPr>
        <w:rPr>
          <w:rFonts w:ascii="TyponineSans Reg" w:hAnsi="TyponineSans Reg"/>
          <w:b/>
          <w:color w:val="FF0000"/>
          <w:sz w:val="24"/>
        </w:rPr>
      </w:pPr>
    </w:p>
    <w:p w14:paraId="50CE0DCA" w14:textId="6E9BFF36" w:rsidR="00697490" w:rsidRPr="00307E1B" w:rsidRDefault="00697490" w:rsidP="00697490">
      <w:pPr>
        <w:rPr>
          <w:rFonts w:ascii="TyponineSans Reg" w:hAnsi="TyponineSans Reg"/>
          <w:b/>
          <w:color w:val="000000" w:themeColor="text1"/>
          <w:sz w:val="24"/>
        </w:rPr>
      </w:pPr>
      <w:r w:rsidRPr="00307E1B">
        <w:rPr>
          <w:rFonts w:ascii="TyponineSans Reg" w:hAnsi="TyponineSans Reg"/>
          <w:b/>
          <w:color w:val="000000" w:themeColor="text1"/>
          <w:sz w:val="24"/>
        </w:rPr>
        <w:t>U V O D</w:t>
      </w:r>
    </w:p>
    <w:p w14:paraId="0BF3E902" w14:textId="77777777" w:rsidR="00697490" w:rsidRPr="00307E1B" w:rsidRDefault="00697490" w:rsidP="00697490">
      <w:pPr>
        <w:rPr>
          <w:rFonts w:ascii="TyponineSans Reg" w:hAnsi="TyponineSans Reg"/>
          <w:color w:val="000000" w:themeColor="text1"/>
          <w:sz w:val="24"/>
        </w:rPr>
      </w:pPr>
    </w:p>
    <w:p w14:paraId="273EB769" w14:textId="77777777" w:rsidR="00697490" w:rsidRPr="00307E1B" w:rsidRDefault="00697490" w:rsidP="00697490">
      <w:pPr>
        <w:jc w:val="both"/>
        <w:rPr>
          <w:rFonts w:ascii="TyponineSans Reg" w:hAnsi="TyponineSans Reg"/>
          <w:b/>
          <w:color w:val="000000" w:themeColor="text1"/>
          <w:szCs w:val="22"/>
        </w:rPr>
      </w:pPr>
      <w:r w:rsidRPr="00307E1B">
        <w:rPr>
          <w:rFonts w:ascii="TyponineSans Reg" w:hAnsi="TyponineSans Reg"/>
          <w:color w:val="000000" w:themeColor="text1"/>
          <w:szCs w:val="22"/>
        </w:rPr>
        <w:t xml:space="preserve">Javna ustanova Nacionalni park Brijuni osnovana je  s ciljem zaštite, promicanja, održavanja i prezentiranja osobito zaštićenog područja Brijuni, koja uz djelatnost zaštite prirodne i kulturne baštine obavlja i ugostiteljsko-turističku djelatnost i koja je sa svom svojom pokretnom i nepokretnom imovinom u vlasništvu Republike Hrvatske. </w:t>
      </w:r>
    </w:p>
    <w:p w14:paraId="2C0F0E23" w14:textId="77777777" w:rsidR="00697490" w:rsidRPr="00307E1B" w:rsidRDefault="00697490" w:rsidP="00697490">
      <w:pPr>
        <w:rPr>
          <w:rFonts w:ascii="TyponineSans Reg" w:hAnsi="TyponineSans Reg"/>
          <w:b/>
          <w:color w:val="000000" w:themeColor="text1"/>
          <w:szCs w:val="22"/>
        </w:rPr>
      </w:pPr>
    </w:p>
    <w:p w14:paraId="589E2A22" w14:textId="77777777" w:rsidR="00697490" w:rsidRPr="00307E1B" w:rsidRDefault="00697490" w:rsidP="00697490">
      <w:pPr>
        <w:jc w:val="both"/>
        <w:rPr>
          <w:rFonts w:ascii="TyponineSans Reg" w:hAnsi="TyponineSans Reg"/>
          <w:color w:val="000000" w:themeColor="text1"/>
          <w:szCs w:val="22"/>
        </w:rPr>
      </w:pPr>
      <w:r w:rsidRPr="00307E1B">
        <w:rPr>
          <w:rFonts w:ascii="TyponineSans Reg" w:hAnsi="TyponineSans Reg"/>
          <w:color w:val="000000" w:themeColor="text1"/>
          <w:szCs w:val="22"/>
        </w:rPr>
        <w:t>Osnovna djelatnost Ustanove je :</w:t>
      </w:r>
    </w:p>
    <w:p w14:paraId="46C336E3" w14:textId="77777777" w:rsidR="00697490" w:rsidRPr="00307E1B" w:rsidRDefault="00697490" w:rsidP="00697490">
      <w:pPr>
        <w:numPr>
          <w:ilvl w:val="0"/>
          <w:numId w:val="1"/>
        </w:numPr>
        <w:jc w:val="both"/>
        <w:rPr>
          <w:rFonts w:ascii="TyponineSans Reg" w:hAnsi="TyponineSans Reg"/>
          <w:color w:val="000000" w:themeColor="text1"/>
          <w:szCs w:val="22"/>
        </w:rPr>
      </w:pPr>
      <w:r w:rsidRPr="00307E1B">
        <w:rPr>
          <w:rFonts w:ascii="TyponineSans Reg" w:hAnsi="TyponineSans Reg"/>
          <w:color w:val="000000" w:themeColor="text1"/>
          <w:szCs w:val="22"/>
        </w:rPr>
        <w:t>djelatnost zaštite, održavanja i promicanja (prezentacija) kulturne i prirodne baštine na području Nacionalnog parka Brijuni, a koja se obavlja i organizira sukladno propisima o zaštiti prirode, o zaštiti spomenika kulture i propisima o muzejskoj djelatnosti,</w:t>
      </w:r>
    </w:p>
    <w:p w14:paraId="4A1D88D1" w14:textId="77777777" w:rsidR="00697490" w:rsidRPr="00307E1B" w:rsidRDefault="00697490" w:rsidP="00697490">
      <w:pPr>
        <w:numPr>
          <w:ilvl w:val="12"/>
          <w:numId w:val="0"/>
        </w:numPr>
        <w:ind w:left="360" w:hanging="360"/>
        <w:jc w:val="both"/>
        <w:rPr>
          <w:rFonts w:ascii="TyponineSans Reg" w:hAnsi="TyponineSans Reg"/>
          <w:color w:val="000000" w:themeColor="text1"/>
          <w:szCs w:val="22"/>
        </w:rPr>
      </w:pPr>
    </w:p>
    <w:p w14:paraId="6A169868" w14:textId="77777777" w:rsidR="00697490" w:rsidRPr="00307E1B" w:rsidRDefault="00697490" w:rsidP="00697490">
      <w:pPr>
        <w:numPr>
          <w:ilvl w:val="0"/>
          <w:numId w:val="1"/>
        </w:numPr>
        <w:jc w:val="both"/>
        <w:rPr>
          <w:rFonts w:ascii="TyponineSans Reg" w:hAnsi="TyponineSans Reg"/>
          <w:color w:val="000000" w:themeColor="text1"/>
          <w:szCs w:val="22"/>
        </w:rPr>
      </w:pPr>
      <w:r w:rsidRPr="00307E1B">
        <w:rPr>
          <w:rFonts w:ascii="TyponineSans Reg" w:hAnsi="TyponineSans Reg"/>
          <w:color w:val="000000" w:themeColor="text1"/>
          <w:szCs w:val="22"/>
        </w:rPr>
        <w:t>ugostiteljsko-turistička djelatnost, čiji je krajnji cilj  također u funkciji zaštite  kulturne i prirodne baštine Nacionalnog parka</w:t>
      </w:r>
    </w:p>
    <w:p w14:paraId="7FE1CFDA" w14:textId="77777777" w:rsidR="00697490" w:rsidRPr="00307E1B" w:rsidRDefault="00697490" w:rsidP="00697490">
      <w:pPr>
        <w:jc w:val="both"/>
        <w:rPr>
          <w:rFonts w:ascii="TyponineSans Reg" w:hAnsi="TyponineSans Reg"/>
          <w:color w:val="000000" w:themeColor="text1"/>
          <w:sz w:val="24"/>
        </w:rPr>
      </w:pPr>
    </w:p>
    <w:p w14:paraId="14EFEAFD" w14:textId="77777777" w:rsidR="00697490" w:rsidRPr="00307E1B" w:rsidRDefault="00697490" w:rsidP="00697490">
      <w:pPr>
        <w:jc w:val="both"/>
        <w:rPr>
          <w:rFonts w:ascii="TyponineSans Reg" w:hAnsi="TyponineSans Reg"/>
          <w:color w:val="000000" w:themeColor="text1"/>
          <w:szCs w:val="22"/>
        </w:rPr>
      </w:pPr>
      <w:r w:rsidRPr="00307E1B">
        <w:rPr>
          <w:rFonts w:ascii="TyponineSans Reg" w:hAnsi="TyponineSans Reg"/>
          <w:color w:val="000000" w:themeColor="text1"/>
          <w:szCs w:val="22"/>
        </w:rPr>
        <w:t>Primarna neprofitna djelatnost Ustanove je zaštitna djelatnost s opredjeljenjem da se pri obavljanju ugostiteljsko-turističke djelatnosti mora poštivati granica opterećenja kapaciteta da se ne bi ugrozile neprocjenjive prirodne, kulturne i povijesne vrijednosti, sve aktivnosti Ustanove u razdoblju od siječnja do prosinca 20120. godine bile su usmjerene ka realizaciji primarnih zadataka zaštite i očuvanja prirodnih, kulturnih i povijesnih dobara sve u skladu s Planom upravljanja i Godišnjim programom zaštite, održavanja i promicanja Nacionalnog parka Brijuni.</w:t>
      </w:r>
    </w:p>
    <w:p w14:paraId="5316AB13" w14:textId="77777777" w:rsidR="00697490" w:rsidRPr="00307E1B" w:rsidRDefault="00697490" w:rsidP="00697490">
      <w:pPr>
        <w:jc w:val="both"/>
        <w:rPr>
          <w:rFonts w:ascii="TyponineSans Reg" w:hAnsi="TyponineSans Reg"/>
          <w:color w:val="000000" w:themeColor="text1"/>
          <w:szCs w:val="22"/>
        </w:rPr>
      </w:pPr>
    </w:p>
    <w:p w14:paraId="27ADD677" w14:textId="77777777" w:rsidR="00697490" w:rsidRPr="00307E1B" w:rsidRDefault="00697490" w:rsidP="00697490">
      <w:pPr>
        <w:jc w:val="both"/>
        <w:rPr>
          <w:rFonts w:ascii="TyponineSans Reg" w:hAnsi="TyponineSans Reg"/>
          <w:color w:val="000000" w:themeColor="text1"/>
          <w:szCs w:val="22"/>
        </w:rPr>
      </w:pPr>
      <w:r w:rsidRPr="00307E1B">
        <w:rPr>
          <w:rFonts w:ascii="TyponineSans Reg" w:hAnsi="TyponineSans Reg"/>
          <w:color w:val="000000" w:themeColor="text1"/>
          <w:szCs w:val="22"/>
        </w:rPr>
        <w:t>Temeljni oblici ustrojstva i načina rada Ustanove su službe u kojima se obavljaju funkcije procesa rada i poslovanja Ustanove, te ostvaruje zaštita, održavanje i promicanje prirodne i kulturne baštine Nacionalnog parka kao i ugostiteljsko turistička djelatnost i to:</w:t>
      </w:r>
    </w:p>
    <w:p w14:paraId="53094F8C" w14:textId="77777777" w:rsidR="00697490" w:rsidRPr="00307E1B" w:rsidRDefault="00697490" w:rsidP="00697490">
      <w:pPr>
        <w:jc w:val="both"/>
        <w:rPr>
          <w:rFonts w:ascii="TyponineSans Reg" w:hAnsi="TyponineSans Reg"/>
          <w:color w:val="000000" w:themeColor="text1"/>
          <w:szCs w:val="22"/>
        </w:rPr>
      </w:pPr>
    </w:p>
    <w:p w14:paraId="273D902B" w14:textId="77777777" w:rsidR="00697490" w:rsidRPr="00307E1B" w:rsidRDefault="00697490" w:rsidP="00697490">
      <w:pPr>
        <w:numPr>
          <w:ilvl w:val="0"/>
          <w:numId w:val="2"/>
        </w:numPr>
        <w:jc w:val="both"/>
        <w:rPr>
          <w:rFonts w:ascii="TyponineSans Reg" w:hAnsi="TyponineSans Reg"/>
          <w:b/>
          <w:color w:val="000000" w:themeColor="text1"/>
          <w:szCs w:val="22"/>
        </w:rPr>
      </w:pPr>
      <w:r w:rsidRPr="00307E1B">
        <w:rPr>
          <w:rFonts w:ascii="TyponineSans Reg" w:hAnsi="TyponineSans Reg"/>
          <w:b/>
          <w:color w:val="000000" w:themeColor="text1"/>
          <w:szCs w:val="22"/>
        </w:rPr>
        <w:t>Ured ravnatelja</w:t>
      </w:r>
    </w:p>
    <w:p w14:paraId="7FD08115" w14:textId="77777777" w:rsidR="00697490" w:rsidRPr="00307E1B" w:rsidRDefault="00697490" w:rsidP="00697490">
      <w:pPr>
        <w:jc w:val="both"/>
        <w:rPr>
          <w:rFonts w:ascii="TyponineSans Reg" w:hAnsi="TyponineSans Reg"/>
          <w:b/>
          <w:color w:val="000000" w:themeColor="text1"/>
          <w:szCs w:val="22"/>
        </w:rPr>
      </w:pPr>
    </w:p>
    <w:p w14:paraId="7CF4FD0F" w14:textId="69852659" w:rsidR="00697490" w:rsidRPr="00307E1B" w:rsidRDefault="00975223" w:rsidP="00697490">
      <w:pPr>
        <w:numPr>
          <w:ilvl w:val="0"/>
          <w:numId w:val="2"/>
        </w:numPr>
        <w:jc w:val="both"/>
        <w:rPr>
          <w:rFonts w:ascii="TyponineSans Reg" w:hAnsi="TyponineSans Reg"/>
          <w:b/>
          <w:color w:val="000000" w:themeColor="text1"/>
          <w:szCs w:val="22"/>
        </w:rPr>
      </w:pPr>
      <w:r w:rsidRPr="00307E1B">
        <w:rPr>
          <w:rFonts w:ascii="TyponineSans Reg" w:hAnsi="TyponineSans Reg"/>
          <w:b/>
          <w:color w:val="000000" w:themeColor="text1"/>
          <w:szCs w:val="22"/>
        </w:rPr>
        <w:t>Odjel</w:t>
      </w:r>
      <w:r w:rsidR="00697490" w:rsidRPr="00307E1B">
        <w:rPr>
          <w:rFonts w:ascii="TyponineSans Reg" w:hAnsi="TyponineSans Reg"/>
          <w:b/>
          <w:color w:val="000000" w:themeColor="text1"/>
          <w:szCs w:val="22"/>
        </w:rPr>
        <w:t xml:space="preserve"> stručnih poslova zaštite, održavanja, očuvanja i korištenja Nacionalnog parka</w:t>
      </w:r>
    </w:p>
    <w:p w14:paraId="5D9D2128" w14:textId="5B55F6C8" w:rsidR="00697490" w:rsidRPr="00307E1B" w:rsidRDefault="00975223" w:rsidP="0069749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TyponineSans Reg" w:hAnsi="TyponineSans Reg"/>
          <w:color w:val="000000" w:themeColor="text1"/>
          <w:szCs w:val="22"/>
        </w:rPr>
      </w:pPr>
      <w:r w:rsidRPr="00307E1B">
        <w:rPr>
          <w:rFonts w:ascii="TyponineSans Reg" w:hAnsi="TyponineSans Reg"/>
          <w:color w:val="000000" w:themeColor="text1"/>
          <w:szCs w:val="22"/>
        </w:rPr>
        <w:t>O</w:t>
      </w:r>
      <w:r w:rsidR="00697490" w:rsidRPr="00307E1B">
        <w:rPr>
          <w:rFonts w:ascii="TyponineSans Reg" w:hAnsi="TyponineSans Reg"/>
          <w:color w:val="000000" w:themeColor="text1"/>
          <w:szCs w:val="22"/>
        </w:rPr>
        <w:t>dsjek za zaštitu biljnih vrsta</w:t>
      </w:r>
    </w:p>
    <w:p w14:paraId="700DED58" w14:textId="6A38D6D3" w:rsidR="00697490" w:rsidRPr="00307E1B" w:rsidRDefault="00975223" w:rsidP="0069749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TyponineSans Reg" w:hAnsi="TyponineSans Reg"/>
          <w:color w:val="000000" w:themeColor="text1"/>
          <w:szCs w:val="22"/>
        </w:rPr>
      </w:pPr>
      <w:r w:rsidRPr="00307E1B">
        <w:rPr>
          <w:rFonts w:ascii="TyponineSans Reg" w:hAnsi="TyponineSans Reg"/>
          <w:color w:val="000000" w:themeColor="text1"/>
          <w:szCs w:val="22"/>
        </w:rPr>
        <w:t>O</w:t>
      </w:r>
      <w:r w:rsidR="00697490" w:rsidRPr="00307E1B">
        <w:rPr>
          <w:rFonts w:ascii="TyponineSans Reg" w:hAnsi="TyponineSans Reg"/>
          <w:color w:val="000000" w:themeColor="text1"/>
          <w:szCs w:val="22"/>
        </w:rPr>
        <w:t>dsjek za zaštitu životinjskih vrsta</w:t>
      </w:r>
    </w:p>
    <w:p w14:paraId="615745CC" w14:textId="1BBD7A12" w:rsidR="00697490" w:rsidRPr="00307E1B" w:rsidRDefault="00975223" w:rsidP="0069749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TyponineSans Reg" w:hAnsi="TyponineSans Reg"/>
          <w:b/>
          <w:color w:val="000000" w:themeColor="text1"/>
          <w:szCs w:val="22"/>
        </w:rPr>
      </w:pPr>
      <w:r w:rsidRPr="00307E1B">
        <w:rPr>
          <w:rFonts w:ascii="TyponineSans Reg" w:hAnsi="TyponineSans Reg"/>
          <w:color w:val="000000" w:themeColor="text1"/>
          <w:szCs w:val="22"/>
        </w:rPr>
        <w:t>O</w:t>
      </w:r>
      <w:r w:rsidR="00697490" w:rsidRPr="00307E1B">
        <w:rPr>
          <w:rFonts w:ascii="TyponineSans Reg" w:hAnsi="TyponineSans Reg"/>
          <w:color w:val="000000" w:themeColor="text1"/>
          <w:szCs w:val="22"/>
        </w:rPr>
        <w:t>dsjek za zaštitu kulturnih dobara</w:t>
      </w:r>
    </w:p>
    <w:p w14:paraId="6C1D94A0" w14:textId="77777777" w:rsidR="00697490" w:rsidRPr="00307E1B" w:rsidRDefault="00697490" w:rsidP="00697490">
      <w:pPr>
        <w:ind w:left="360"/>
        <w:jc w:val="both"/>
        <w:rPr>
          <w:rFonts w:ascii="TyponineSans Reg" w:hAnsi="TyponineSans Reg"/>
          <w:b/>
          <w:color w:val="000000" w:themeColor="text1"/>
          <w:szCs w:val="22"/>
        </w:rPr>
      </w:pPr>
    </w:p>
    <w:p w14:paraId="45DB9F15" w14:textId="7D1A494E" w:rsidR="00697490" w:rsidRPr="00307E1B" w:rsidRDefault="00975223" w:rsidP="00697490">
      <w:pPr>
        <w:numPr>
          <w:ilvl w:val="0"/>
          <w:numId w:val="4"/>
        </w:numPr>
        <w:jc w:val="both"/>
        <w:rPr>
          <w:rFonts w:ascii="TyponineSans Reg" w:hAnsi="TyponineSans Reg"/>
          <w:b/>
          <w:color w:val="000000" w:themeColor="text1"/>
          <w:szCs w:val="22"/>
        </w:rPr>
      </w:pPr>
      <w:r w:rsidRPr="00307E1B">
        <w:rPr>
          <w:rFonts w:ascii="TyponineSans Reg" w:hAnsi="TyponineSans Reg"/>
          <w:b/>
          <w:color w:val="000000" w:themeColor="text1"/>
          <w:szCs w:val="22"/>
        </w:rPr>
        <w:t>Odjel čuvara prirode</w:t>
      </w:r>
    </w:p>
    <w:p w14:paraId="1572C445" w14:textId="77777777" w:rsidR="00697490" w:rsidRPr="00307E1B" w:rsidRDefault="00697490" w:rsidP="00697490">
      <w:pPr>
        <w:jc w:val="both"/>
        <w:rPr>
          <w:rFonts w:ascii="TyponineSans Reg" w:hAnsi="TyponineSans Reg"/>
          <w:b/>
          <w:color w:val="000000" w:themeColor="text1"/>
          <w:szCs w:val="22"/>
        </w:rPr>
      </w:pPr>
    </w:p>
    <w:p w14:paraId="6EE04429" w14:textId="6E81FC3E" w:rsidR="00697490" w:rsidRPr="00307E1B" w:rsidRDefault="00975223" w:rsidP="00697490">
      <w:pPr>
        <w:numPr>
          <w:ilvl w:val="0"/>
          <w:numId w:val="4"/>
        </w:numPr>
        <w:jc w:val="both"/>
        <w:rPr>
          <w:rFonts w:ascii="TyponineSans Reg" w:hAnsi="TyponineSans Reg"/>
          <w:b/>
          <w:color w:val="000000" w:themeColor="text1"/>
          <w:szCs w:val="22"/>
        </w:rPr>
      </w:pPr>
      <w:bookmarkStart w:id="1" w:name="_Hlk157496637"/>
      <w:r w:rsidRPr="00307E1B">
        <w:rPr>
          <w:rFonts w:ascii="TyponineSans Reg" w:hAnsi="TyponineSans Reg"/>
          <w:b/>
          <w:color w:val="000000" w:themeColor="text1"/>
          <w:szCs w:val="22"/>
        </w:rPr>
        <w:t>Odjel</w:t>
      </w:r>
      <w:r w:rsidR="00697490" w:rsidRPr="00307E1B">
        <w:rPr>
          <w:rFonts w:ascii="TyponineSans Reg" w:hAnsi="TyponineSans Reg"/>
          <w:b/>
          <w:color w:val="000000" w:themeColor="text1"/>
          <w:szCs w:val="22"/>
        </w:rPr>
        <w:t xml:space="preserve"> za ugostiteljsko turističku djelatnost</w:t>
      </w:r>
    </w:p>
    <w:p w14:paraId="2CA3C278" w14:textId="54137C4C" w:rsidR="00697490" w:rsidRPr="00307E1B" w:rsidRDefault="00975223" w:rsidP="00697490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TyponineSans Reg" w:hAnsi="TyponineSans Reg"/>
          <w:color w:val="000000" w:themeColor="text1"/>
          <w:szCs w:val="22"/>
        </w:rPr>
      </w:pPr>
      <w:r w:rsidRPr="00307E1B">
        <w:rPr>
          <w:rFonts w:ascii="TyponineSans Reg" w:hAnsi="TyponineSans Reg"/>
          <w:color w:val="000000" w:themeColor="text1"/>
          <w:szCs w:val="22"/>
        </w:rPr>
        <w:t>O</w:t>
      </w:r>
      <w:r w:rsidR="00697490" w:rsidRPr="00307E1B">
        <w:rPr>
          <w:rFonts w:ascii="TyponineSans Reg" w:hAnsi="TyponineSans Reg"/>
          <w:color w:val="000000" w:themeColor="text1"/>
          <w:szCs w:val="22"/>
        </w:rPr>
        <w:t>dsjek hotelskog smještaja</w:t>
      </w:r>
    </w:p>
    <w:p w14:paraId="395A6B65" w14:textId="1294710E" w:rsidR="00697490" w:rsidRPr="00307E1B" w:rsidRDefault="00975223" w:rsidP="00975223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TyponineSans Reg" w:hAnsi="TyponineSans Reg"/>
          <w:color w:val="000000" w:themeColor="text1"/>
          <w:szCs w:val="22"/>
        </w:rPr>
      </w:pPr>
      <w:r w:rsidRPr="00307E1B">
        <w:rPr>
          <w:rFonts w:ascii="TyponineSans Reg" w:hAnsi="TyponineSans Reg"/>
          <w:color w:val="000000" w:themeColor="text1"/>
          <w:szCs w:val="22"/>
        </w:rPr>
        <w:t>O</w:t>
      </w:r>
      <w:r w:rsidR="00697490" w:rsidRPr="00307E1B">
        <w:rPr>
          <w:rFonts w:ascii="TyponineSans Reg" w:hAnsi="TyponineSans Reg"/>
          <w:color w:val="000000" w:themeColor="text1"/>
          <w:szCs w:val="22"/>
        </w:rPr>
        <w:t>dsjek ugostiteljstva</w:t>
      </w:r>
    </w:p>
    <w:bookmarkEnd w:id="1"/>
    <w:p w14:paraId="5CD6CDBE" w14:textId="77777777" w:rsidR="00697490" w:rsidRPr="00307E1B" w:rsidRDefault="00697490" w:rsidP="00697490">
      <w:pPr>
        <w:ind w:left="360"/>
        <w:jc w:val="both"/>
        <w:rPr>
          <w:rFonts w:ascii="TyponineSans Reg" w:hAnsi="TyponineSans Reg"/>
          <w:color w:val="000000" w:themeColor="text1"/>
          <w:szCs w:val="22"/>
        </w:rPr>
      </w:pPr>
    </w:p>
    <w:p w14:paraId="344C3307" w14:textId="52B1110F" w:rsidR="00975223" w:rsidRPr="00307E1B" w:rsidRDefault="00975223" w:rsidP="00975223">
      <w:pPr>
        <w:numPr>
          <w:ilvl w:val="0"/>
          <w:numId w:val="4"/>
        </w:numPr>
        <w:jc w:val="both"/>
        <w:rPr>
          <w:rFonts w:ascii="TyponineSans Reg" w:hAnsi="TyponineSans Reg"/>
          <w:b/>
          <w:color w:val="000000" w:themeColor="text1"/>
          <w:szCs w:val="22"/>
        </w:rPr>
      </w:pPr>
      <w:r w:rsidRPr="00307E1B">
        <w:rPr>
          <w:rFonts w:ascii="TyponineSans Reg" w:hAnsi="TyponineSans Reg"/>
          <w:b/>
          <w:color w:val="000000" w:themeColor="text1"/>
          <w:szCs w:val="22"/>
        </w:rPr>
        <w:t>Odjel za turizam</w:t>
      </w:r>
    </w:p>
    <w:p w14:paraId="6A4E5C99" w14:textId="10FD7426" w:rsidR="00975223" w:rsidRPr="00307E1B" w:rsidRDefault="00975223" w:rsidP="00975223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TyponineSans Reg" w:hAnsi="TyponineSans Reg"/>
          <w:color w:val="000000" w:themeColor="text1"/>
          <w:szCs w:val="22"/>
        </w:rPr>
      </w:pPr>
      <w:r w:rsidRPr="00307E1B">
        <w:rPr>
          <w:rFonts w:ascii="TyponineSans Reg" w:hAnsi="TyponineSans Reg"/>
          <w:color w:val="000000" w:themeColor="text1"/>
          <w:szCs w:val="22"/>
        </w:rPr>
        <w:t>Odsjek za izlete</w:t>
      </w:r>
    </w:p>
    <w:p w14:paraId="067CC6EF" w14:textId="4D7BE409" w:rsidR="00975223" w:rsidRPr="00307E1B" w:rsidRDefault="00975223" w:rsidP="00975223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TyponineSans Reg" w:hAnsi="TyponineSans Reg"/>
          <w:color w:val="000000" w:themeColor="text1"/>
          <w:szCs w:val="22"/>
        </w:rPr>
      </w:pPr>
      <w:r w:rsidRPr="00307E1B">
        <w:rPr>
          <w:rFonts w:ascii="TyponineSans Reg" w:hAnsi="TyponineSans Reg"/>
          <w:color w:val="000000" w:themeColor="text1"/>
          <w:szCs w:val="22"/>
        </w:rPr>
        <w:t>Odsjek za sport i rekreaciju</w:t>
      </w:r>
      <w:r w:rsidRPr="00307E1B">
        <w:rPr>
          <w:rFonts w:ascii="TyponineSans Reg" w:hAnsi="TyponineSans Reg"/>
          <w:b/>
          <w:color w:val="000000" w:themeColor="text1"/>
          <w:szCs w:val="22"/>
        </w:rPr>
        <w:t xml:space="preserve"> </w:t>
      </w:r>
    </w:p>
    <w:p w14:paraId="0A7636C7" w14:textId="77777777" w:rsidR="00697490" w:rsidRPr="00307E1B" w:rsidRDefault="00697490" w:rsidP="00697490">
      <w:pPr>
        <w:jc w:val="both"/>
        <w:rPr>
          <w:rFonts w:ascii="TyponineSans Reg" w:hAnsi="TyponineSans Reg"/>
          <w:b/>
          <w:color w:val="000000" w:themeColor="text1"/>
          <w:szCs w:val="22"/>
        </w:rPr>
      </w:pPr>
    </w:p>
    <w:p w14:paraId="74201FF2" w14:textId="39DF9C28" w:rsidR="00697490" w:rsidRPr="00307E1B" w:rsidRDefault="00975223" w:rsidP="00697490">
      <w:pPr>
        <w:numPr>
          <w:ilvl w:val="0"/>
          <w:numId w:val="6"/>
        </w:numPr>
        <w:jc w:val="both"/>
        <w:rPr>
          <w:rFonts w:ascii="TyponineSans Reg" w:hAnsi="TyponineSans Reg"/>
          <w:b/>
          <w:color w:val="000000" w:themeColor="text1"/>
          <w:szCs w:val="22"/>
        </w:rPr>
      </w:pPr>
      <w:r w:rsidRPr="00307E1B">
        <w:rPr>
          <w:rFonts w:ascii="TyponineSans Reg" w:hAnsi="TyponineSans Reg"/>
          <w:b/>
          <w:color w:val="000000" w:themeColor="text1"/>
          <w:szCs w:val="22"/>
        </w:rPr>
        <w:t>Odjel</w:t>
      </w:r>
      <w:r w:rsidR="00697490" w:rsidRPr="00307E1B">
        <w:rPr>
          <w:rFonts w:ascii="TyponineSans Reg" w:hAnsi="TyponineSans Reg"/>
          <w:b/>
          <w:color w:val="000000" w:themeColor="text1"/>
          <w:szCs w:val="22"/>
        </w:rPr>
        <w:t xml:space="preserve"> za promidžbu i prodaju</w:t>
      </w:r>
    </w:p>
    <w:p w14:paraId="0F7674D6" w14:textId="77777777" w:rsidR="00697490" w:rsidRPr="00307E1B" w:rsidRDefault="00697490" w:rsidP="00697490">
      <w:pPr>
        <w:pStyle w:val="ListParagraph"/>
        <w:rPr>
          <w:rFonts w:ascii="TyponineSans Reg" w:hAnsi="TyponineSans Reg"/>
          <w:b/>
          <w:color w:val="000000" w:themeColor="text1"/>
          <w:szCs w:val="22"/>
        </w:rPr>
      </w:pPr>
    </w:p>
    <w:p w14:paraId="4E6CFB33" w14:textId="32B29311" w:rsidR="00697490" w:rsidRPr="00307E1B" w:rsidRDefault="00975223" w:rsidP="00697490">
      <w:pPr>
        <w:numPr>
          <w:ilvl w:val="0"/>
          <w:numId w:val="6"/>
        </w:numPr>
        <w:jc w:val="both"/>
        <w:rPr>
          <w:rFonts w:ascii="TyponineSans Reg" w:hAnsi="TyponineSans Reg"/>
          <w:b/>
          <w:color w:val="000000" w:themeColor="text1"/>
          <w:szCs w:val="22"/>
        </w:rPr>
      </w:pPr>
      <w:r w:rsidRPr="00307E1B">
        <w:rPr>
          <w:rFonts w:ascii="TyponineSans Reg" w:hAnsi="TyponineSans Reg"/>
          <w:b/>
          <w:color w:val="000000" w:themeColor="text1"/>
          <w:szCs w:val="22"/>
        </w:rPr>
        <w:t>Odjel</w:t>
      </w:r>
      <w:r w:rsidR="00697490" w:rsidRPr="00307E1B">
        <w:rPr>
          <w:rFonts w:ascii="TyponineSans Reg" w:hAnsi="TyponineSans Reg"/>
          <w:b/>
          <w:color w:val="000000" w:themeColor="text1"/>
          <w:szCs w:val="22"/>
        </w:rPr>
        <w:t xml:space="preserve"> za financijsko računovodstvene poslove</w:t>
      </w:r>
      <w:r w:rsidRPr="00307E1B">
        <w:rPr>
          <w:rFonts w:ascii="TyponineSans Reg" w:hAnsi="TyponineSans Reg"/>
          <w:b/>
          <w:color w:val="000000" w:themeColor="text1"/>
          <w:szCs w:val="22"/>
        </w:rPr>
        <w:t xml:space="preserve"> i nabavu</w:t>
      </w:r>
    </w:p>
    <w:p w14:paraId="45EDBBFA" w14:textId="769366A3" w:rsidR="00697490" w:rsidRPr="00307E1B" w:rsidRDefault="00975223" w:rsidP="00697490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TyponineSans Reg" w:hAnsi="TyponineSans Reg"/>
          <w:color w:val="000000" w:themeColor="text1"/>
          <w:szCs w:val="22"/>
        </w:rPr>
      </w:pPr>
      <w:r w:rsidRPr="00307E1B">
        <w:rPr>
          <w:rFonts w:ascii="TyponineSans Reg" w:hAnsi="TyponineSans Reg"/>
          <w:color w:val="000000" w:themeColor="text1"/>
          <w:szCs w:val="22"/>
        </w:rPr>
        <w:t>O</w:t>
      </w:r>
      <w:r w:rsidR="00697490" w:rsidRPr="00307E1B">
        <w:rPr>
          <w:rFonts w:ascii="TyponineSans Reg" w:hAnsi="TyponineSans Reg"/>
          <w:color w:val="000000" w:themeColor="text1"/>
          <w:szCs w:val="22"/>
        </w:rPr>
        <w:t>dsjek za financijsko računovodstvene poslove</w:t>
      </w:r>
    </w:p>
    <w:p w14:paraId="4C51479A" w14:textId="7978E2DA" w:rsidR="00697490" w:rsidRPr="00307E1B" w:rsidRDefault="00975223" w:rsidP="00697490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TyponineSans Reg" w:hAnsi="TyponineSans Reg"/>
          <w:color w:val="000000" w:themeColor="text1"/>
          <w:szCs w:val="22"/>
        </w:rPr>
      </w:pPr>
      <w:r w:rsidRPr="00307E1B">
        <w:rPr>
          <w:rFonts w:ascii="TyponineSans Reg" w:hAnsi="TyponineSans Reg"/>
          <w:color w:val="000000" w:themeColor="text1"/>
          <w:szCs w:val="22"/>
        </w:rPr>
        <w:t>O</w:t>
      </w:r>
      <w:r w:rsidR="00697490" w:rsidRPr="00307E1B">
        <w:rPr>
          <w:rFonts w:ascii="TyponineSans Reg" w:hAnsi="TyponineSans Reg"/>
          <w:color w:val="000000" w:themeColor="text1"/>
          <w:szCs w:val="22"/>
        </w:rPr>
        <w:t>dsjek nabave i skladišta</w:t>
      </w:r>
    </w:p>
    <w:p w14:paraId="6534BA5B" w14:textId="09BB3446" w:rsidR="00697490" w:rsidRPr="00307E1B" w:rsidRDefault="00697490" w:rsidP="00697490">
      <w:pPr>
        <w:ind w:left="360"/>
        <w:jc w:val="both"/>
        <w:rPr>
          <w:rFonts w:ascii="TyponineSans Reg" w:hAnsi="TyponineSans Reg"/>
          <w:color w:val="000000" w:themeColor="text1"/>
          <w:szCs w:val="22"/>
        </w:rPr>
      </w:pPr>
    </w:p>
    <w:p w14:paraId="6DD1198C" w14:textId="09CE11F0" w:rsidR="00F6732C" w:rsidRPr="00307E1B" w:rsidRDefault="00F6732C" w:rsidP="00697490">
      <w:pPr>
        <w:ind w:left="360"/>
        <w:jc w:val="both"/>
        <w:rPr>
          <w:rFonts w:ascii="TyponineSans Reg" w:hAnsi="TyponineSans Reg"/>
          <w:color w:val="000000" w:themeColor="text1"/>
          <w:szCs w:val="22"/>
        </w:rPr>
      </w:pPr>
    </w:p>
    <w:p w14:paraId="4192E440" w14:textId="3B4B50B4" w:rsidR="00F6732C" w:rsidRPr="00307E1B" w:rsidRDefault="00F6732C" w:rsidP="00697490">
      <w:pPr>
        <w:ind w:left="360"/>
        <w:jc w:val="both"/>
        <w:rPr>
          <w:rFonts w:ascii="TyponineSans Reg" w:hAnsi="TyponineSans Reg"/>
          <w:color w:val="000000" w:themeColor="text1"/>
          <w:szCs w:val="22"/>
        </w:rPr>
      </w:pPr>
    </w:p>
    <w:p w14:paraId="5363E0FB" w14:textId="39BAE3FC" w:rsidR="00F6732C" w:rsidRPr="00307E1B" w:rsidRDefault="00F6732C" w:rsidP="00697490">
      <w:pPr>
        <w:ind w:left="360"/>
        <w:jc w:val="both"/>
        <w:rPr>
          <w:rFonts w:ascii="TyponineSans Reg" w:hAnsi="TyponineSans Reg"/>
          <w:color w:val="000000" w:themeColor="text1"/>
          <w:szCs w:val="22"/>
        </w:rPr>
      </w:pPr>
    </w:p>
    <w:p w14:paraId="51C91C7A" w14:textId="2B565DAC" w:rsidR="00F6732C" w:rsidRPr="00FC7FEB" w:rsidRDefault="00F6732C" w:rsidP="00697490">
      <w:pPr>
        <w:ind w:left="360"/>
        <w:jc w:val="both"/>
        <w:rPr>
          <w:rFonts w:ascii="TyponineSans Reg" w:hAnsi="TyponineSans Reg"/>
          <w:color w:val="FF0000"/>
          <w:szCs w:val="22"/>
        </w:rPr>
      </w:pPr>
    </w:p>
    <w:p w14:paraId="2B5451CC" w14:textId="5CD2CF6E" w:rsidR="00F6732C" w:rsidRPr="00FC7FEB" w:rsidRDefault="00F6732C" w:rsidP="00697490">
      <w:pPr>
        <w:ind w:left="360"/>
        <w:jc w:val="both"/>
        <w:rPr>
          <w:rFonts w:ascii="TyponineSans Reg" w:hAnsi="TyponineSans Reg"/>
          <w:color w:val="FF0000"/>
          <w:szCs w:val="22"/>
        </w:rPr>
      </w:pPr>
    </w:p>
    <w:p w14:paraId="1E6CA460" w14:textId="77777777" w:rsidR="00F6732C" w:rsidRPr="00FC7FEB" w:rsidRDefault="00F6732C" w:rsidP="00697490">
      <w:pPr>
        <w:ind w:left="360"/>
        <w:jc w:val="both"/>
        <w:rPr>
          <w:rFonts w:ascii="TyponineSans Reg" w:hAnsi="TyponineSans Reg"/>
          <w:color w:val="FF0000"/>
          <w:szCs w:val="22"/>
        </w:rPr>
      </w:pPr>
    </w:p>
    <w:p w14:paraId="58E0201F" w14:textId="407E21D1" w:rsidR="00697490" w:rsidRPr="00307E1B" w:rsidRDefault="00975223" w:rsidP="00F6732C">
      <w:pPr>
        <w:pStyle w:val="ListParagraph"/>
        <w:numPr>
          <w:ilvl w:val="0"/>
          <w:numId w:val="43"/>
        </w:numPr>
        <w:ind w:hanging="720"/>
        <w:jc w:val="both"/>
        <w:rPr>
          <w:rFonts w:ascii="TyponineSans Reg" w:hAnsi="TyponineSans Reg"/>
          <w:b/>
          <w:color w:val="000000" w:themeColor="text1"/>
          <w:szCs w:val="22"/>
        </w:rPr>
      </w:pPr>
      <w:r w:rsidRPr="00307E1B">
        <w:rPr>
          <w:rFonts w:ascii="TyponineSans Reg" w:hAnsi="TyponineSans Reg"/>
          <w:b/>
          <w:color w:val="000000" w:themeColor="text1"/>
          <w:szCs w:val="22"/>
        </w:rPr>
        <w:t>Odjel</w:t>
      </w:r>
      <w:r w:rsidR="00697490" w:rsidRPr="00307E1B">
        <w:rPr>
          <w:rFonts w:ascii="TyponineSans Reg" w:hAnsi="TyponineSans Reg"/>
          <w:b/>
          <w:color w:val="000000" w:themeColor="text1"/>
          <w:szCs w:val="22"/>
        </w:rPr>
        <w:t xml:space="preserve"> održavanja i prijevoza</w:t>
      </w:r>
    </w:p>
    <w:p w14:paraId="293D271F" w14:textId="7D4B8A66" w:rsidR="00697490" w:rsidRPr="00307E1B" w:rsidRDefault="00975223" w:rsidP="00697490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rPr>
          <w:rFonts w:ascii="TyponineSans Reg" w:hAnsi="TyponineSans Reg"/>
          <w:color w:val="000000" w:themeColor="text1"/>
          <w:szCs w:val="22"/>
        </w:rPr>
      </w:pPr>
      <w:r w:rsidRPr="00307E1B">
        <w:rPr>
          <w:rFonts w:ascii="TyponineSans Reg" w:hAnsi="TyponineSans Reg"/>
          <w:color w:val="000000" w:themeColor="text1"/>
          <w:szCs w:val="22"/>
        </w:rPr>
        <w:t>O</w:t>
      </w:r>
      <w:r w:rsidR="00697490" w:rsidRPr="00307E1B">
        <w:rPr>
          <w:rFonts w:ascii="TyponineSans Reg" w:hAnsi="TyponineSans Reg"/>
          <w:color w:val="000000" w:themeColor="text1"/>
          <w:szCs w:val="22"/>
        </w:rPr>
        <w:t>dsjek za održavanje objekata i opreme</w:t>
      </w:r>
    </w:p>
    <w:p w14:paraId="2A128C48" w14:textId="027A8C70" w:rsidR="00697490" w:rsidRPr="00307E1B" w:rsidRDefault="00975223" w:rsidP="00697490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rPr>
          <w:rFonts w:ascii="TyponineSans Reg" w:hAnsi="TyponineSans Reg"/>
          <w:color w:val="000000" w:themeColor="text1"/>
          <w:szCs w:val="22"/>
        </w:rPr>
      </w:pPr>
      <w:r w:rsidRPr="00307E1B">
        <w:rPr>
          <w:rFonts w:ascii="TyponineSans Reg" w:hAnsi="TyponineSans Reg"/>
          <w:color w:val="000000" w:themeColor="text1"/>
          <w:szCs w:val="22"/>
        </w:rPr>
        <w:t>O</w:t>
      </w:r>
      <w:r w:rsidR="00697490" w:rsidRPr="00307E1B">
        <w:rPr>
          <w:rFonts w:ascii="TyponineSans Reg" w:hAnsi="TyponineSans Reg"/>
          <w:color w:val="000000" w:themeColor="text1"/>
          <w:szCs w:val="22"/>
        </w:rPr>
        <w:t>dsjek za interni prijevoz</w:t>
      </w:r>
    </w:p>
    <w:p w14:paraId="249C6C97" w14:textId="5BC0F6D2" w:rsidR="00697490" w:rsidRPr="00307E1B" w:rsidRDefault="00975223" w:rsidP="00697490">
      <w:pPr>
        <w:numPr>
          <w:ilvl w:val="0"/>
          <w:numId w:val="8"/>
        </w:numPr>
        <w:tabs>
          <w:tab w:val="clear" w:pos="360"/>
          <w:tab w:val="num" w:pos="1440"/>
        </w:tabs>
        <w:ind w:left="1080"/>
        <w:jc w:val="both"/>
        <w:rPr>
          <w:rFonts w:ascii="TyponineSans Reg" w:hAnsi="TyponineSans Reg"/>
          <w:color w:val="000000" w:themeColor="text1"/>
          <w:szCs w:val="22"/>
        </w:rPr>
      </w:pPr>
      <w:r w:rsidRPr="00307E1B">
        <w:rPr>
          <w:rFonts w:ascii="TyponineSans Reg" w:hAnsi="TyponineSans Reg"/>
          <w:color w:val="000000" w:themeColor="text1"/>
          <w:szCs w:val="22"/>
        </w:rPr>
        <w:t>O</w:t>
      </w:r>
      <w:r w:rsidR="00697490" w:rsidRPr="00307E1B">
        <w:rPr>
          <w:rFonts w:ascii="TyponineSans Reg" w:hAnsi="TyponineSans Reg"/>
          <w:color w:val="000000" w:themeColor="text1"/>
          <w:szCs w:val="22"/>
        </w:rPr>
        <w:t>dsjek za informatiku i telekomunikacije</w:t>
      </w:r>
    </w:p>
    <w:p w14:paraId="1FFEACCE" w14:textId="77777777" w:rsidR="00697490" w:rsidRPr="00307E1B" w:rsidRDefault="00697490" w:rsidP="00697490">
      <w:pPr>
        <w:ind w:left="720"/>
        <w:jc w:val="both"/>
        <w:rPr>
          <w:rFonts w:ascii="TyponineSans Reg" w:hAnsi="TyponineSans Reg"/>
          <w:color w:val="000000" w:themeColor="text1"/>
          <w:szCs w:val="22"/>
        </w:rPr>
      </w:pPr>
    </w:p>
    <w:p w14:paraId="08382D69" w14:textId="7D2E6519" w:rsidR="00697490" w:rsidRPr="00307E1B" w:rsidRDefault="00975223" w:rsidP="00F6732C">
      <w:pPr>
        <w:numPr>
          <w:ilvl w:val="0"/>
          <w:numId w:val="7"/>
        </w:numPr>
        <w:ind w:hanging="720"/>
        <w:jc w:val="both"/>
        <w:rPr>
          <w:rFonts w:ascii="TyponineSans Reg" w:hAnsi="TyponineSans Reg"/>
          <w:b/>
          <w:color w:val="000000" w:themeColor="text1"/>
          <w:szCs w:val="22"/>
        </w:rPr>
      </w:pPr>
      <w:r w:rsidRPr="00307E1B">
        <w:rPr>
          <w:rFonts w:ascii="TyponineSans Reg" w:hAnsi="TyponineSans Reg"/>
          <w:b/>
          <w:color w:val="000000" w:themeColor="text1"/>
          <w:szCs w:val="22"/>
        </w:rPr>
        <w:t>Odjel</w:t>
      </w:r>
      <w:r w:rsidR="00697490" w:rsidRPr="00307E1B">
        <w:rPr>
          <w:rFonts w:ascii="TyponineSans Reg" w:hAnsi="TyponineSans Reg"/>
          <w:b/>
          <w:color w:val="000000" w:themeColor="text1"/>
          <w:szCs w:val="22"/>
        </w:rPr>
        <w:t xml:space="preserve"> pravnih, kadrovskih i općih poslova</w:t>
      </w:r>
    </w:p>
    <w:p w14:paraId="6E32CF10" w14:textId="77777777" w:rsidR="00697490" w:rsidRPr="00307E1B" w:rsidRDefault="00697490" w:rsidP="00697490">
      <w:pPr>
        <w:ind w:left="360"/>
        <w:jc w:val="both"/>
        <w:rPr>
          <w:rFonts w:ascii="TyponineSans Reg" w:hAnsi="TyponineSans Reg"/>
          <w:b/>
          <w:color w:val="000000" w:themeColor="text1"/>
          <w:szCs w:val="22"/>
        </w:rPr>
      </w:pPr>
    </w:p>
    <w:p w14:paraId="2E3E8250" w14:textId="5F11AA2A" w:rsidR="00697490" w:rsidRPr="00307E1B" w:rsidRDefault="00975223" w:rsidP="00697490">
      <w:pPr>
        <w:numPr>
          <w:ilvl w:val="0"/>
          <w:numId w:val="7"/>
        </w:numPr>
        <w:jc w:val="both"/>
        <w:rPr>
          <w:rFonts w:ascii="TyponineSans Reg" w:hAnsi="TyponineSans Reg"/>
          <w:b/>
          <w:color w:val="000000" w:themeColor="text1"/>
          <w:szCs w:val="22"/>
        </w:rPr>
      </w:pPr>
      <w:r w:rsidRPr="00307E1B">
        <w:rPr>
          <w:rFonts w:ascii="TyponineSans Reg" w:hAnsi="TyponineSans Reg"/>
          <w:b/>
          <w:color w:val="000000" w:themeColor="text1"/>
          <w:szCs w:val="22"/>
        </w:rPr>
        <w:t>Odjel</w:t>
      </w:r>
      <w:r w:rsidR="00697490" w:rsidRPr="00307E1B">
        <w:rPr>
          <w:rFonts w:ascii="TyponineSans Reg" w:hAnsi="TyponineSans Reg"/>
          <w:b/>
          <w:color w:val="000000" w:themeColor="text1"/>
          <w:szCs w:val="22"/>
        </w:rPr>
        <w:t xml:space="preserve"> za pripremu i provedbu projekata</w:t>
      </w:r>
    </w:p>
    <w:p w14:paraId="32E93EF9" w14:textId="77777777" w:rsidR="00975223" w:rsidRPr="00307E1B" w:rsidRDefault="00975223" w:rsidP="00975223">
      <w:pPr>
        <w:pStyle w:val="ListParagraph"/>
        <w:rPr>
          <w:rFonts w:ascii="TyponineSans Reg" w:hAnsi="TyponineSans Reg"/>
          <w:b/>
          <w:color w:val="000000" w:themeColor="text1"/>
          <w:szCs w:val="22"/>
        </w:rPr>
      </w:pPr>
    </w:p>
    <w:p w14:paraId="4E0BB9F1" w14:textId="0001E397" w:rsidR="00975223" w:rsidRPr="00307E1B" w:rsidRDefault="00975223" w:rsidP="00697490">
      <w:pPr>
        <w:numPr>
          <w:ilvl w:val="0"/>
          <w:numId w:val="7"/>
        </w:numPr>
        <w:jc w:val="both"/>
        <w:rPr>
          <w:rFonts w:ascii="TyponineSans Reg" w:hAnsi="TyponineSans Reg"/>
          <w:b/>
          <w:color w:val="000000" w:themeColor="text1"/>
          <w:szCs w:val="22"/>
        </w:rPr>
      </w:pPr>
      <w:r w:rsidRPr="00307E1B">
        <w:rPr>
          <w:rFonts w:ascii="TyponineSans Reg" w:hAnsi="TyponineSans Reg"/>
          <w:b/>
          <w:color w:val="000000" w:themeColor="text1"/>
          <w:szCs w:val="22"/>
        </w:rPr>
        <w:t>Odjel za sigurnost i zaštitu na radu</w:t>
      </w:r>
    </w:p>
    <w:p w14:paraId="2F1A0750" w14:textId="77777777" w:rsidR="00697490" w:rsidRPr="00307E1B" w:rsidRDefault="00697490" w:rsidP="00697490">
      <w:pPr>
        <w:jc w:val="both"/>
        <w:rPr>
          <w:rFonts w:ascii="TyponineSans Reg" w:hAnsi="TyponineSans Reg"/>
          <w:b/>
          <w:color w:val="000000" w:themeColor="text1"/>
          <w:szCs w:val="22"/>
        </w:rPr>
      </w:pPr>
    </w:p>
    <w:p w14:paraId="14975026" w14:textId="77777777" w:rsidR="00697490" w:rsidRPr="001C6B35" w:rsidRDefault="00697490" w:rsidP="00697490">
      <w:pPr>
        <w:jc w:val="both"/>
        <w:rPr>
          <w:rFonts w:ascii="TyponineSans Reg" w:hAnsi="TyponineSans Reg"/>
          <w:szCs w:val="22"/>
        </w:rPr>
      </w:pPr>
    </w:p>
    <w:p w14:paraId="0BEA6B3E" w14:textId="77777777" w:rsidR="00697490" w:rsidRPr="001C6B35" w:rsidRDefault="00697490" w:rsidP="00697490">
      <w:pPr>
        <w:jc w:val="both"/>
        <w:rPr>
          <w:rFonts w:ascii="TyponineSans Reg" w:hAnsi="TyponineSans Reg"/>
          <w:szCs w:val="22"/>
        </w:rPr>
      </w:pPr>
    </w:p>
    <w:p w14:paraId="3B20EE29" w14:textId="46334733" w:rsidR="00697490" w:rsidRPr="001C6B35" w:rsidRDefault="00697490" w:rsidP="00697490">
      <w:pPr>
        <w:jc w:val="both"/>
        <w:rPr>
          <w:rFonts w:ascii="TyponineSans Reg" w:hAnsi="TyponineSans Reg"/>
          <w:szCs w:val="22"/>
        </w:rPr>
      </w:pPr>
      <w:r w:rsidRPr="001C6B35">
        <w:rPr>
          <w:rFonts w:ascii="TyponineSans Reg" w:hAnsi="TyponineSans Reg"/>
          <w:szCs w:val="22"/>
        </w:rPr>
        <w:t>Pregled ostvarenih rezultata poslovanja Javne ustanove Nacionalni park Brijuni za razdoblje od siječnja do prosinca 202</w:t>
      </w:r>
      <w:r w:rsidR="0061487D" w:rsidRPr="001C6B35">
        <w:rPr>
          <w:rFonts w:ascii="TyponineSans Reg" w:hAnsi="TyponineSans Reg"/>
          <w:szCs w:val="22"/>
        </w:rPr>
        <w:t>4</w:t>
      </w:r>
      <w:r w:rsidRPr="001C6B35">
        <w:rPr>
          <w:rFonts w:ascii="TyponineSans Reg" w:hAnsi="TyponineSans Reg"/>
          <w:szCs w:val="22"/>
        </w:rPr>
        <w:t xml:space="preserve">. godine iskazan je u nastavku  Bilješki uz financijske izvještaje. </w:t>
      </w:r>
    </w:p>
    <w:p w14:paraId="795D5D0E" w14:textId="77777777" w:rsidR="00697490" w:rsidRPr="001C6B35" w:rsidRDefault="00697490" w:rsidP="00697490">
      <w:pPr>
        <w:jc w:val="both"/>
        <w:rPr>
          <w:rFonts w:ascii="TyponineSans Reg" w:hAnsi="TyponineSans Reg"/>
          <w:szCs w:val="22"/>
        </w:rPr>
      </w:pPr>
    </w:p>
    <w:p w14:paraId="0DC7CAD7" w14:textId="77777777" w:rsidR="00697490" w:rsidRPr="00FC7FEB" w:rsidRDefault="00697490" w:rsidP="00697490">
      <w:pPr>
        <w:jc w:val="both"/>
        <w:rPr>
          <w:rFonts w:ascii="TyponineSans Reg" w:hAnsi="TyponineSans Reg"/>
          <w:color w:val="FF0000"/>
          <w:szCs w:val="22"/>
        </w:rPr>
      </w:pPr>
    </w:p>
    <w:p w14:paraId="44BD4B2F" w14:textId="77777777" w:rsidR="00697490" w:rsidRPr="00FC7FEB" w:rsidRDefault="00697490" w:rsidP="00697490">
      <w:pPr>
        <w:jc w:val="both"/>
        <w:rPr>
          <w:rFonts w:ascii="TyponineSans Reg" w:hAnsi="TyponineSans Reg"/>
          <w:color w:val="FF0000"/>
          <w:sz w:val="24"/>
        </w:rPr>
      </w:pPr>
    </w:p>
    <w:p w14:paraId="2CFA22F1" w14:textId="77777777" w:rsidR="00697490" w:rsidRPr="00FC7FEB" w:rsidRDefault="00697490" w:rsidP="00697490">
      <w:pPr>
        <w:jc w:val="both"/>
        <w:rPr>
          <w:rFonts w:ascii="TyponineSans Reg" w:hAnsi="TyponineSans Reg"/>
          <w:color w:val="FF0000"/>
          <w:sz w:val="24"/>
        </w:rPr>
      </w:pPr>
    </w:p>
    <w:p w14:paraId="131B3B5D" w14:textId="77777777" w:rsidR="00697490" w:rsidRPr="00FC7FEB" w:rsidRDefault="00697490" w:rsidP="00697490">
      <w:pPr>
        <w:jc w:val="both"/>
        <w:rPr>
          <w:rFonts w:ascii="TyponineSans Reg" w:hAnsi="TyponineSans Reg"/>
          <w:color w:val="FF0000"/>
          <w:sz w:val="24"/>
        </w:rPr>
      </w:pPr>
    </w:p>
    <w:p w14:paraId="16C12106" w14:textId="77777777" w:rsidR="00697490" w:rsidRPr="00FC7FEB" w:rsidRDefault="00697490" w:rsidP="00697490">
      <w:pPr>
        <w:jc w:val="both"/>
        <w:rPr>
          <w:rFonts w:ascii="TyponineSans Reg" w:hAnsi="TyponineSans Reg"/>
          <w:color w:val="FF0000"/>
          <w:sz w:val="24"/>
        </w:rPr>
      </w:pPr>
    </w:p>
    <w:p w14:paraId="0A1CAC8A" w14:textId="77777777" w:rsidR="00697490" w:rsidRPr="00FC7FEB" w:rsidRDefault="00697490" w:rsidP="00697490">
      <w:pPr>
        <w:jc w:val="both"/>
        <w:rPr>
          <w:rFonts w:ascii="TyponineSans Reg" w:hAnsi="TyponineSans Reg"/>
          <w:color w:val="FF0000"/>
          <w:sz w:val="24"/>
        </w:rPr>
      </w:pPr>
    </w:p>
    <w:p w14:paraId="0913D6F2" w14:textId="77777777" w:rsidR="00697490" w:rsidRPr="00FC7FEB" w:rsidRDefault="00697490" w:rsidP="00697490">
      <w:pPr>
        <w:jc w:val="both"/>
        <w:rPr>
          <w:rFonts w:ascii="TyponineSans Reg" w:hAnsi="TyponineSans Reg"/>
          <w:color w:val="FF0000"/>
          <w:sz w:val="24"/>
        </w:rPr>
      </w:pPr>
    </w:p>
    <w:p w14:paraId="5929A6DA" w14:textId="77777777" w:rsidR="00697490" w:rsidRPr="00FC7FEB" w:rsidRDefault="00697490" w:rsidP="00697490">
      <w:pPr>
        <w:jc w:val="both"/>
        <w:rPr>
          <w:rFonts w:ascii="TyponineSans Reg" w:hAnsi="TyponineSans Reg"/>
          <w:color w:val="FF0000"/>
          <w:sz w:val="24"/>
        </w:rPr>
      </w:pPr>
    </w:p>
    <w:p w14:paraId="2DF2E817" w14:textId="77777777" w:rsidR="00697490" w:rsidRPr="00FC7FEB" w:rsidRDefault="00697490" w:rsidP="00697490">
      <w:pPr>
        <w:jc w:val="both"/>
        <w:rPr>
          <w:rFonts w:ascii="TyponineSans Reg" w:hAnsi="TyponineSans Reg"/>
          <w:color w:val="FF0000"/>
          <w:sz w:val="24"/>
        </w:rPr>
      </w:pPr>
    </w:p>
    <w:p w14:paraId="5ABE8D99" w14:textId="77777777" w:rsidR="00697490" w:rsidRPr="00FC7FEB" w:rsidRDefault="00697490" w:rsidP="00697490">
      <w:pPr>
        <w:jc w:val="both"/>
        <w:rPr>
          <w:rFonts w:ascii="TyponineSans Reg" w:hAnsi="TyponineSans Reg"/>
          <w:color w:val="FF0000"/>
          <w:sz w:val="24"/>
        </w:rPr>
      </w:pPr>
    </w:p>
    <w:p w14:paraId="5B4B1F37" w14:textId="77777777" w:rsidR="00697490" w:rsidRPr="00FC7FEB" w:rsidRDefault="00697490" w:rsidP="00697490">
      <w:pPr>
        <w:jc w:val="both"/>
        <w:rPr>
          <w:rFonts w:ascii="TyponineSans Reg" w:hAnsi="TyponineSans Reg"/>
          <w:color w:val="FF0000"/>
          <w:sz w:val="24"/>
        </w:rPr>
      </w:pPr>
    </w:p>
    <w:p w14:paraId="6BF96BC0" w14:textId="77777777" w:rsidR="00697490" w:rsidRPr="00FC7FEB" w:rsidRDefault="00697490" w:rsidP="00697490">
      <w:pPr>
        <w:jc w:val="both"/>
        <w:rPr>
          <w:rFonts w:ascii="TyponineSans Reg" w:hAnsi="TyponineSans Reg"/>
          <w:color w:val="FF0000"/>
          <w:sz w:val="24"/>
        </w:rPr>
      </w:pPr>
    </w:p>
    <w:p w14:paraId="5AA79EBB" w14:textId="77777777" w:rsidR="00697490" w:rsidRPr="00FC7FEB" w:rsidRDefault="00697490" w:rsidP="00697490">
      <w:pPr>
        <w:jc w:val="both"/>
        <w:rPr>
          <w:rFonts w:ascii="TyponineSans Reg" w:hAnsi="TyponineSans Reg"/>
          <w:color w:val="FF0000"/>
          <w:sz w:val="24"/>
        </w:rPr>
      </w:pPr>
    </w:p>
    <w:p w14:paraId="6B81610B" w14:textId="77777777" w:rsidR="00697490" w:rsidRPr="00FC7FEB" w:rsidRDefault="00697490" w:rsidP="00697490">
      <w:pPr>
        <w:jc w:val="both"/>
        <w:rPr>
          <w:rFonts w:ascii="TyponineSans Reg" w:hAnsi="TyponineSans Reg"/>
          <w:color w:val="FF0000"/>
          <w:sz w:val="24"/>
        </w:rPr>
      </w:pPr>
    </w:p>
    <w:p w14:paraId="5D74DF87" w14:textId="77777777" w:rsidR="00697490" w:rsidRPr="00FC7FEB" w:rsidRDefault="00697490" w:rsidP="00697490">
      <w:pPr>
        <w:jc w:val="both"/>
        <w:rPr>
          <w:rFonts w:ascii="TyponineSans Reg" w:hAnsi="TyponineSans Reg"/>
          <w:color w:val="FF0000"/>
          <w:sz w:val="24"/>
        </w:rPr>
      </w:pPr>
    </w:p>
    <w:p w14:paraId="67B013AF" w14:textId="77777777" w:rsidR="00697490" w:rsidRPr="00FC7FEB" w:rsidRDefault="00697490" w:rsidP="00697490">
      <w:pPr>
        <w:jc w:val="both"/>
        <w:rPr>
          <w:rFonts w:ascii="TyponineSans Reg" w:hAnsi="TyponineSans Reg"/>
          <w:color w:val="FF0000"/>
          <w:sz w:val="24"/>
        </w:rPr>
      </w:pPr>
    </w:p>
    <w:p w14:paraId="68F01203" w14:textId="77777777" w:rsidR="00697490" w:rsidRPr="00FC7FEB" w:rsidRDefault="00697490" w:rsidP="00697490">
      <w:pPr>
        <w:jc w:val="both"/>
        <w:rPr>
          <w:rFonts w:ascii="TyponineSans Reg" w:hAnsi="TyponineSans Reg"/>
          <w:color w:val="FF0000"/>
          <w:sz w:val="24"/>
        </w:rPr>
      </w:pPr>
    </w:p>
    <w:p w14:paraId="5CEFFD71" w14:textId="77777777" w:rsidR="00697490" w:rsidRPr="00FC7FEB" w:rsidRDefault="00697490" w:rsidP="00697490">
      <w:pPr>
        <w:jc w:val="both"/>
        <w:rPr>
          <w:rFonts w:ascii="TyponineSans Reg" w:hAnsi="TyponineSans Reg"/>
          <w:color w:val="FF0000"/>
          <w:sz w:val="24"/>
        </w:rPr>
      </w:pPr>
    </w:p>
    <w:p w14:paraId="7DDAB7A8" w14:textId="77777777" w:rsidR="00697490" w:rsidRPr="00FC7FEB" w:rsidRDefault="00697490" w:rsidP="00697490">
      <w:pPr>
        <w:jc w:val="both"/>
        <w:rPr>
          <w:rFonts w:ascii="TyponineSans Reg" w:hAnsi="TyponineSans Reg"/>
          <w:color w:val="FF0000"/>
          <w:sz w:val="24"/>
        </w:rPr>
      </w:pPr>
    </w:p>
    <w:p w14:paraId="4AC49F8B" w14:textId="77777777" w:rsidR="00697490" w:rsidRPr="00FC7FEB" w:rsidRDefault="00697490" w:rsidP="00697490">
      <w:pPr>
        <w:jc w:val="both"/>
        <w:rPr>
          <w:rFonts w:ascii="TyponineSans Reg" w:hAnsi="TyponineSans Reg"/>
          <w:color w:val="FF0000"/>
          <w:sz w:val="24"/>
        </w:rPr>
      </w:pPr>
    </w:p>
    <w:p w14:paraId="7429668B" w14:textId="77777777" w:rsidR="00697490" w:rsidRPr="00FC7FEB" w:rsidRDefault="00697490" w:rsidP="00697490">
      <w:pPr>
        <w:jc w:val="both"/>
        <w:rPr>
          <w:rFonts w:ascii="TyponineSans Reg" w:hAnsi="TyponineSans Reg"/>
          <w:color w:val="FF0000"/>
          <w:sz w:val="24"/>
        </w:rPr>
      </w:pPr>
    </w:p>
    <w:p w14:paraId="734FD489" w14:textId="77777777" w:rsidR="00697490" w:rsidRPr="00FC7FEB" w:rsidRDefault="00697490" w:rsidP="00697490">
      <w:pPr>
        <w:rPr>
          <w:rFonts w:ascii="TyponineSans Reg" w:hAnsi="TyponineSans Reg"/>
          <w:color w:val="FF0000"/>
          <w:sz w:val="24"/>
        </w:rPr>
      </w:pPr>
    </w:p>
    <w:p w14:paraId="5899774A" w14:textId="77777777" w:rsidR="00697490" w:rsidRPr="00FC7FEB" w:rsidRDefault="00697490" w:rsidP="00697490">
      <w:pPr>
        <w:rPr>
          <w:rFonts w:ascii="TyponineSans Reg" w:hAnsi="TyponineSans Reg"/>
          <w:color w:val="FF0000"/>
          <w:sz w:val="24"/>
        </w:rPr>
      </w:pPr>
    </w:p>
    <w:p w14:paraId="128244E7" w14:textId="77777777" w:rsidR="00697490" w:rsidRPr="00FC7FEB" w:rsidRDefault="00697490" w:rsidP="00697490">
      <w:pPr>
        <w:rPr>
          <w:rFonts w:ascii="TyponineSans Reg" w:hAnsi="TyponineSans Reg"/>
          <w:color w:val="FF0000"/>
          <w:sz w:val="24"/>
        </w:rPr>
      </w:pPr>
    </w:p>
    <w:p w14:paraId="2A99FE6D" w14:textId="77777777" w:rsidR="00697490" w:rsidRPr="00FC7FEB" w:rsidRDefault="00697490" w:rsidP="00697490">
      <w:pPr>
        <w:rPr>
          <w:rFonts w:ascii="TyponineSans Reg" w:hAnsi="TyponineSans Reg"/>
          <w:color w:val="FF0000"/>
          <w:sz w:val="24"/>
        </w:rPr>
      </w:pPr>
    </w:p>
    <w:p w14:paraId="70C27163" w14:textId="77777777" w:rsidR="00697490" w:rsidRPr="00FC7FEB" w:rsidRDefault="00697490" w:rsidP="00697490">
      <w:pPr>
        <w:rPr>
          <w:rFonts w:ascii="TyponineSans Reg" w:hAnsi="TyponineSans Reg"/>
          <w:color w:val="FF0000"/>
          <w:sz w:val="24"/>
        </w:rPr>
      </w:pPr>
    </w:p>
    <w:p w14:paraId="6E84E257" w14:textId="77777777" w:rsidR="00697490" w:rsidRPr="00FC7FEB" w:rsidRDefault="00697490" w:rsidP="00697490">
      <w:pPr>
        <w:rPr>
          <w:rFonts w:ascii="TyponineSans Reg" w:hAnsi="TyponineSans Reg"/>
          <w:color w:val="FF0000"/>
          <w:sz w:val="24"/>
        </w:rPr>
      </w:pPr>
    </w:p>
    <w:p w14:paraId="7AEC1BB6" w14:textId="77777777" w:rsidR="00697490" w:rsidRPr="00FC7FEB" w:rsidRDefault="00697490" w:rsidP="00697490">
      <w:pPr>
        <w:rPr>
          <w:rFonts w:ascii="TyponineSans Reg" w:hAnsi="TyponineSans Reg"/>
          <w:color w:val="FF0000"/>
          <w:sz w:val="24"/>
        </w:rPr>
      </w:pPr>
    </w:p>
    <w:p w14:paraId="7C85B538" w14:textId="42BF1E3E" w:rsidR="00697490" w:rsidRPr="00FC7FEB" w:rsidRDefault="00697490" w:rsidP="00697490">
      <w:pPr>
        <w:rPr>
          <w:rFonts w:ascii="TyponineSans Reg" w:hAnsi="TyponineSans Reg"/>
          <w:b/>
          <w:color w:val="FF0000"/>
          <w:sz w:val="24"/>
        </w:rPr>
      </w:pPr>
    </w:p>
    <w:p w14:paraId="38F81813" w14:textId="20C06BCB" w:rsidR="00F87659" w:rsidRPr="00FC7FEB" w:rsidRDefault="00F87659" w:rsidP="00697490">
      <w:pPr>
        <w:rPr>
          <w:rFonts w:ascii="TyponineSans Reg" w:hAnsi="TyponineSans Reg"/>
          <w:b/>
          <w:color w:val="FF0000"/>
          <w:sz w:val="24"/>
        </w:rPr>
      </w:pPr>
    </w:p>
    <w:p w14:paraId="10F40AE3" w14:textId="7D526C85" w:rsidR="00F87659" w:rsidRPr="00FC7FEB" w:rsidRDefault="00F87659" w:rsidP="00697490">
      <w:pPr>
        <w:rPr>
          <w:rFonts w:ascii="TyponineSans Reg" w:hAnsi="TyponineSans Reg"/>
          <w:b/>
          <w:color w:val="FF0000"/>
          <w:sz w:val="24"/>
        </w:rPr>
      </w:pPr>
    </w:p>
    <w:p w14:paraId="5E1A2426" w14:textId="48EAC28D" w:rsidR="00F87659" w:rsidRPr="00FC7FEB" w:rsidRDefault="00F87659" w:rsidP="00697490">
      <w:pPr>
        <w:rPr>
          <w:rFonts w:ascii="TyponineSans Reg" w:hAnsi="TyponineSans Reg"/>
          <w:b/>
          <w:color w:val="FF0000"/>
          <w:sz w:val="24"/>
        </w:rPr>
      </w:pPr>
    </w:p>
    <w:p w14:paraId="2FE82D1B" w14:textId="77777777" w:rsidR="00F6732C" w:rsidRPr="00FC7FEB" w:rsidRDefault="00F6732C" w:rsidP="00697490">
      <w:pPr>
        <w:rPr>
          <w:rFonts w:ascii="TyponineSans Reg" w:hAnsi="TyponineSans Reg"/>
          <w:b/>
          <w:color w:val="FF0000"/>
          <w:sz w:val="24"/>
        </w:rPr>
      </w:pPr>
    </w:p>
    <w:p w14:paraId="30861F67" w14:textId="77777777" w:rsidR="00697490" w:rsidRPr="00FC7FEB" w:rsidRDefault="00697490" w:rsidP="00697490">
      <w:pPr>
        <w:jc w:val="center"/>
        <w:rPr>
          <w:rFonts w:ascii="TyponineSans Reg" w:hAnsi="TyponineSans Reg"/>
          <w:b/>
          <w:color w:val="FF0000"/>
          <w:sz w:val="24"/>
        </w:rPr>
      </w:pPr>
    </w:p>
    <w:p w14:paraId="246F8836" w14:textId="77777777" w:rsidR="00697490" w:rsidRPr="001C6B35" w:rsidRDefault="00697490" w:rsidP="00697490">
      <w:pPr>
        <w:jc w:val="center"/>
        <w:rPr>
          <w:rFonts w:ascii="TyponineSans Reg" w:hAnsi="TyponineSans Reg"/>
          <w:b/>
          <w:sz w:val="24"/>
        </w:rPr>
      </w:pPr>
      <w:r w:rsidRPr="001C6B35">
        <w:rPr>
          <w:rFonts w:ascii="TyponineSans Reg" w:hAnsi="TyponineSans Reg"/>
          <w:b/>
          <w:sz w:val="24"/>
        </w:rPr>
        <w:t>BILJEŠKE UZ FINANCIJSKE IZVJEŠTAJE</w:t>
      </w:r>
    </w:p>
    <w:p w14:paraId="65C958A1" w14:textId="77777777" w:rsidR="00697490" w:rsidRPr="001C6B35" w:rsidRDefault="00697490" w:rsidP="00697490">
      <w:pPr>
        <w:jc w:val="center"/>
        <w:rPr>
          <w:rFonts w:ascii="TyponineSans Reg" w:hAnsi="TyponineSans Reg"/>
          <w:b/>
          <w:sz w:val="24"/>
        </w:rPr>
      </w:pPr>
      <w:r w:rsidRPr="001C6B35">
        <w:rPr>
          <w:rFonts w:ascii="TyponineSans Reg" w:hAnsi="TyponineSans Reg"/>
          <w:b/>
          <w:sz w:val="24"/>
        </w:rPr>
        <w:t xml:space="preserve">JAVNE USTANOVE NACIONALNI PARK BRIJUNI </w:t>
      </w:r>
    </w:p>
    <w:p w14:paraId="785A1098" w14:textId="603E4559" w:rsidR="00697490" w:rsidRPr="001C6B35" w:rsidRDefault="00697490" w:rsidP="00697490">
      <w:pPr>
        <w:jc w:val="center"/>
        <w:rPr>
          <w:rFonts w:ascii="TyponineSans Reg" w:hAnsi="TyponineSans Reg"/>
          <w:b/>
          <w:sz w:val="24"/>
        </w:rPr>
      </w:pPr>
      <w:r w:rsidRPr="001C6B35">
        <w:rPr>
          <w:rFonts w:ascii="TyponineSans Reg" w:hAnsi="TyponineSans Reg"/>
          <w:b/>
          <w:sz w:val="24"/>
        </w:rPr>
        <w:t>ZA RAZDOBLJE SIJEČANJ - PROSINAC 202</w:t>
      </w:r>
      <w:r w:rsidR="0061487D" w:rsidRPr="001C6B35">
        <w:rPr>
          <w:rFonts w:ascii="TyponineSans Reg" w:hAnsi="TyponineSans Reg"/>
          <w:b/>
          <w:sz w:val="24"/>
        </w:rPr>
        <w:t>4</w:t>
      </w:r>
      <w:r w:rsidRPr="001C6B35">
        <w:rPr>
          <w:rFonts w:ascii="TyponineSans Reg" w:hAnsi="TyponineSans Reg"/>
          <w:b/>
          <w:sz w:val="24"/>
        </w:rPr>
        <w:t xml:space="preserve">. GODINE </w:t>
      </w:r>
    </w:p>
    <w:p w14:paraId="323B9DF1" w14:textId="77777777" w:rsidR="00697490" w:rsidRPr="00FC7FEB" w:rsidRDefault="00697490" w:rsidP="00697490">
      <w:pPr>
        <w:jc w:val="center"/>
        <w:rPr>
          <w:rFonts w:ascii="TyponineSans Reg" w:hAnsi="TyponineSans Reg"/>
          <w:b/>
          <w:color w:val="FF0000"/>
          <w:sz w:val="24"/>
        </w:rPr>
      </w:pPr>
    </w:p>
    <w:p w14:paraId="27A93361" w14:textId="5C77BC0D" w:rsidR="00697490" w:rsidRPr="00D6355E" w:rsidRDefault="00697490" w:rsidP="00697490">
      <w:pPr>
        <w:jc w:val="both"/>
        <w:rPr>
          <w:rFonts w:ascii="TyponineSans Reg" w:hAnsi="TyponineSans Reg"/>
          <w:szCs w:val="22"/>
        </w:rPr>
      </w:pPr>
      <w:r w:rsidRPr="00D6355E">
        <w:rPr>
          <w:rFonts w:ascii="TyponineSans Reg" w:hAnsi="TyponineSans Reg"/>
          <w:szCs w:val="22"/>
        </w:rPr>
        <w:t>Financijski izvještaji Ustanove za razdoblje od siječnja do prosinca 202</w:t>
      </w:r>
      <w:r w:rsidR="0061487D" w:rsidRPr="00D6355E">
        <w:rPr>
          <w:rFonts w:ascii="TyponineSans Reg" w:hAnsi="TyponineSans Reg"/>
          <w:szCs w:val="22"/>
        </w:rPr>
        <w:t>4</w:t>
      </w:r>
      <w:r w:rsidRPr="00D6355E">
        <w:rPr>
          <w:rFonts w:ascii="TyponineSans Reg" w:hAnsi="TyponineSans Reg"/>
          <w:szCs w:val="22"/>
        </w:rPr>
        <w:t>. godinu sačinjeni su sukladno odredbama Pravilnika o proračunskom računovodstvu i Računskom planu te Pravilnika o financijskom izvještavanju u proračunskom računovodstvu.</w:t>
      </w:r>
    </w:p>
    <w:p w14:paraId="2124DF97" w14:textId="77777777" w:rsidR="00697490" w:rsidRPr="00D6355E" w:rsidRDefault="00697490" w:rsidP="00697490">
      <w:pPr>
        <w:jc w:val="both"/>
        <w:rPr>
          <w:rFonts w:ascii="TyponineSans Reg" w:hAnsi="TyponineSans Reg"/>
          <w:szCs w:val="22"/>
        </w:rPr>
      </w:pPr>
    </w:p>
    <w:p w14:paraId="1EA2650C" w14:textId="77777777" w:rsidR="00697490" w:rsidRPr="00FC7FEB" w:rsidRDefault="00697490" w:rsidP="00697490">
      <w:pPr>
        <w:jc w:val="both"/>
        <w:rPr>
          <w:rFonts w:ascii="TyponineSans Reg" w:hAnsi="TyponineSans Reg"/>
          <w:color w:val="FF0000"/>
          <w:szCs w:val="22"/>
        </w:rPr>
      </w:pPr>
    </w:p>
    <w:p w14:paraId="570B31E2" w14:textId="79EEDDA5" w:rsidR="00697490" w:rsidRPr="001C6B35" w:rsidRDefault="00697490" w:rsidP="00697490">
      <w:pPr>
        <w:jc w:val="both"/>
        <w:rPr>
          <w:rFonts w:ascii="TyponineSans Reg" w:hAnsi="TyponineSans Reg"/>
          <w:b/>
          <w:sz w:val="24"/>
          <w:szCs w:val="24"/>
        </w:rPr>
      </w:pPr>
      <w:r w:rsidRPr="001C6B35">
        <w:rPr>
          <w:rFonts w:ascii="TyponineSans Reg" w:hAnsi="TyponineSans Reg"/>
          <w:b/>
          <w:sz w:val="24"/>
          <w:szCs w:val="24"/>
          <w:bdr w:val="single" w:sz="4" w:space="0" w:color="auto"/>
        </w:rPr>
        <w:t xml:space="preserve">Bilješka br. </w:t>
      </w:r>
      <w:r w:rsidR="00D6355E">
        <w:rPr>
          <w:rFonts w:ascii="TyponineSans Reg" w:hAnsi="TyponineSans Reg"/>
          <w:b/>
          <w:sz w:val="24"/>
          <w:szCs w:val="24"/>
          <w:bdr w:val="single" w:sz="4" w:space="0" w:color="auto"/>
        </w:rPr>
        <w:t>1</w:t>
      </w:r>
      <w:r w:rsidRPr="001C6B35">
        <w:rPr>
          <w:rFonts w:ascii="TyponineSans Reg" w:hAnsi="TyponineSans Reg"/>
          <w:b/>
          <w:sz w:val="24"/>
          <w:szCs w:val="24"/>
          <w:bdr w:val="single" w:sz="4" w:space="0" w:color="auto"/>
        </w:rPr>
        <w:t>.:  Bilješke uz Izvještaj o prihodima i rashodima</w:t>
      </w:r>
      <w:r w:rsidRPr="001C6B35">
        <w:rPr>
          <w:rFonts w:ascii="TyponineSans Reg" w:hAnsi="TyponineSans Reg"/>
          <w:b/>
          <w:sz w:val="24"/>
          <w:szCs w:val="24"/>
        </w:rPr>
        <w:t xml:space="preserve"> u 202</w:t>
      </w:r>
      <w:r w:rsidR="0061487D" w:rsidRPr="001C6B35">
        <w:rPr>
          <w:rFonts w:ascii="TyponineSans Reg" w:hAnsi="TyponineSans Reg"/>
          <w:b/>
          <w:sz w:val="24"/>
          <w:szCs w:val="24"/>
        </w:rPr>
        <w:t>4</w:t>
      </w:r>
      <w:r w:rsidRPr="001C6B35">
        <w:rPr>
          <w:rFonts w:ascii="TyponineSans Reg" w:hAnsi="TyponineSans Reg"/>
          <w:b/>
          <w:sz w:val="24"/>
          <w:szCs w:val="24"/>
        </w:rPr>
        <w:t>. godini</w:t>
      </w:r>
    </w:p>
    <w:p w14:paraId="6385919A" w14:textId="77777777" w:rsidR="00697490" w:rsidRPr="001C6B35" w:rsidRDefault="00697490" w:rsidP="00697490">
      <w:pPr>
        <w:jc w:val="both"/>
        <w:rPr>
          <w:rFonts w:ascii="TyponineSans Reg" w:hAnsi="TyponineSans Reg"/>
          <w:b/>
          <w:sz w:val="24"/>
          <w:szCs w:val="24"/>
        </w:rPr>
      </w:pPr>
    </w:p>
    <w:p w14:paraId="162FAD5F" w14:textId="09373E47" w:rsidR="00697490" w:rsidRPr="001C6B35" w:rsidRDefault="00697490" w:rsidP="00697490">
      <w:pPr>
        <w:jc w:val="both"/>
        <w:rPr>
          <w:rFonts w:ascii="TyponineSans Reg" w:hAnsi="TyponineSans Reg"/>
          <w:b/>
          <w:sz w:val="24"/>
          <w:szCs w:val="24"/>
        </w:rPr>
      </w:pPr>
      <w:r w:rsidRPr="001C6B35">
        <w:rPr>
          <w:rFonts w:ascii="TyponineSans Reg" w:hAnsi="TyponineSans Reg"/>
          <w:b/>
          <w:sz w:val="24"/>
          <w:szCs w:val="24"/>
        </w:rPr>
        <w:t xml:space="preserve">Bilješka br. </w:t>
      </w:r>
      <w:r w:rsidR="00D6355E">
        <w:rPr>
          <w:rFonts w:ascii="TyponineSans Reg" w:hAnsi="TyponineSans Reg"/>
          <w:b/>
          <w:sz w:val="24"/>
          <w:szCs w:val="24"/>
        </w:rPr>
        <w:t>1</w:t>
      </w:r>
      <w:r w:rsidRPr="001C6B35">
        <w:rPr>
          <w:rFonts w:ascii="TyponineSans Reg" w:hAnsi="TyponineSans Reg"/>
          <w:b/>
          <w:sz w:val="24"/>
          <w:szCs w:val="24"/>
        </w:rPr>
        <w:t>.1.  - Prihodi poslovanja</w:t>
      </w:r>
    </w:p>
    <w:p w14:paraId="3E1AC29E" w14:textId="77777777" w:rsidR="00697490" w:rsidRPr="001C6B35" w:rsidRDefault="00697490" w:rsidP="00697490">
      <w:pPr>
        <w:jc w:val="both"/>
        <w:rPr>
          <w:rFonts w:ascii="TyponineSans Reg" w:hAnsi="TyponineSans Reg"/>
          <w:szCs w:val="22"/>
        </w:rPr>
      </w:pPr>
    </w:p>
    <w:p w14:paraId="23A90E94" w14:textId="77777777" w:rsidR="00697490" w:rsidRPr="001C6B35" w:rsidRDefault="00697490" w:rsidP="00697490">
      <w:pPr>
        <w:jc w:val="both"/>
        <w:rPr>
          <w:rFonts w:ascii="TyponineSans Reg" w:hAnsi="TyponineSans Reg"/>
          <w:szCs w:val="22"/>
        </w:rPr>
      </w:pPr>
      <w:r w:rsidRPr="001C6B35">
        <w:rPr>
          <w:rFonts w:ascii="TyponineSans Reg" w:hAnsi="TyponineSans Reg"/>
          <w:szCs w:val="22"/>
        </w:rPr>
        <w:t>U financijskim izvještajima Javne ustanove Nacionalni park Brijuni prihodi poslovanja su, sukladno članku 20. Pravilnika o proračunskom računovodstvu i Računskom planu (NN 124/2014), priznati temeljem modificiranog načela nastanka događaja u onom izvještajnom razdoblju u kojem su postali raspoloživi i mjerljivi.</w:t>
      </w:r>
    </w:p>
    <w:p w14:paraId="27A0FBD0" w14:textId="77777777" w:rsidR="00697490" w:rsidRPr="001C6B35" w:rsidRDefault="00697490" w:rsidP="00697490">
      <w:pPr>
        <w:jc w:val="both"/>
        <w:rPr>
          <w:rFonts w:ascii="TyponineSans Reg" w:hAnsi="TyponineSans Reg" w:cs="Calibri"/>
          <w:b/>
          <w:szCs w:val="22"/>
        </w:rPr>
      </w:pPr>
    </w:p>
    <w:p w14:paraId="65E92F4E" w14:textId="726361E5" w:rsidR="00697490" w:rsidRPr="001C6B35" w:rsidRDefault="00697490" w:rsidP="00697490">
      <w:pPr>
        <w:jc w:val="both"/>
        <w:rPr>
          <w:rFonts w:ascii="TyponineSans Reg" w:hAnsi="TyponineSans Reg" w:cs="Calibri"/>
          <w:szCs w:val="22"/>
        </w:rPr>
      </w:pPr>
      <w:r w:rsidRPr="001C6B35">
        <w:rPr>
          <w:rFonts w:ascii="TyponineSans Reg" w:hAnsi="TyponineSans Reg" w:cs="Calibri"/>
          <w:szCs w:val="22"/>
        </w:rPr>
        <w:t>Javna ustanova “Nacionalni park Brijuni” u razdoblju siječanj-prosinac 202</w:t>
      </w:r>
      <w:r w:rsidR="0061487D" w:rsidRPr="001C6B35">
        <w:rPr>
          <w:rFonts w:ascii="TyponineSans Reg" w:hAnsi="TyponineSans Reg" w:cs="Calibri"/>
          <w:szCs w:val="22"/>
        </w:rPr>
        <w:t>4</w:t>
      </w:r>
      <w:r w:rsidRPr="001C6B35">
        <w:rPr>
          <w:rFonts w:ascii="TyponineSans Reg" w:hAnsi="TyponineSans Reg" w:cs="Calibri"/>
          <w:szCs w:val="22"/>
        </w:rPr>
        <w:t>. godine ostvarila je ukupni prihod u iznosu od 1</w:t>
      </w:r>
      <w:r w:rsidR="00682305" w:rsidRPr="001C6B35">
        <w:rPr>
          <w:rFonts w:ascii="TyponineSans Reg" w:hAnsi="TyponineSans Reg" w:cs="Calibri"/>
          <w:szCs w:val="22"/>
        </w:rPr>
        <w:t>2</w:t>
      </w:r>
      <w:r w:rsidRPr="001C6B35">
        <w:rPr>
          <w:rFonts w:ascii="TyponineSans Reg" w:hAnsi="TyponineSans Reg" w:cs="Calibri"/>
          <w:szCs w:val="22"/>
        </w:rPr>
        <w:t>.</w:t>
      </w:r>
      <w:r w:rsidR="002C61B8" w:rsidRPr="001C6B35">
        <w:rPr>
          <w:rFonts w:ascii="TyponineSans Reg" w:hAnsi="TyponineSans Reg" w:cs="Calibri"/>
          <w:szCs w:val="22"/>
        </w:rPr>
        <w:t>324</w:t>
      </w:r>
      <w:r w:rsidRPr="001C6B35">
        <w:rPr>
          <w:rFonts w:ascii="TyponineSans Reg" w:hAnsi="TyponineSans Reg" w:cs="Calibri"/>
          <w:szCs w:val="22"/>
        </w:rPr>
        <w:t>.</w:t>
      </w:r>
      <w:r w:rsidR="002C61B8" w:rsidRPr="001C6B35">
        <w:rPr>
          <w:rFonts w:ascii="TyponineSans Reg" w:hAnsi="TyponineSans Reg" w:cs="Calibri"/>
          <w:szCs w:val="22"/>
        </w:rPr>
        <w:t>401</w:t>
      </w:r>
      <w:r w:rsidR="00682305" w:rsidRPr="001C6B35">
        <w:rPr>
          <w:rFonts w:ascii="TyponineSans Reg" w:hAnsi="TyponineSans Reg" w:cs="Calibri"/>
          <w:szCs w:val="22"/>
        </w:rPr>
        <w:t>,87</w:t>
      </w:r>
      <w:r w:rsidRPr="001C6B35">
        <w:rPr>
          <w:rFonts w:ascii="TyponineSans Reg" w:hAnsi="TyponineSans Reg" w:cs="Calibri"/>
          <w:szCs w:val="22"/>
        </w:rPr>
        <w:t xml:space="preserve"> </w:t>
      </w:r>
      <w:r w:rsidR="00C87716" w:rsidRPr="001C6B35">
        <w:rPr>
          <w:rFonts w:ascii="TyponineSans Reg" w:hAnsi="TyponineSans Reg" w:cs="Calibri"/>
          <w:szCs w:val="22"/>
        </w:rPr>
        <w:t>EUR</w:t>
      </w:r>
      <w:r w:rsidRPr="001C6B35">
        <w:rPr>
          <w:rFonts w:ascii="TyponineSans Reg" w:hAnsi="TyponineSans Reg" w:cs="Calibri"/>
          <w:szCs w:val="22"/>
        </w:rPr>
        <w:t xml:space="preserve"> što je za </w:t>
      </w:r>
      <w:r w:rsidR="00682305" w:rsidRPr="001C6B35">
        <w:rPr>
          <w:rFonts w:ascii="TyponineSans Reg" w:hAnsi="TyponineSans Reg" w:cs="Calibri"/>
          <w:szCs w:val="22"/>
        </w:rPr>
        <w:t>9</w:t>
      </w:r>
      <w:r w:rsidRPr="001C6B35">
        <w:rPr>
          <w:rFonts w:ascii="TyponineSans Reg" w:hAnsi="TyponineSans Reg" w:cs="Calibri"/>
          <w:szCs w:val="22"/>
        </w:rPr>
        <w:t>,</w:t>
      </w:r>
      <w:r w:rsidR="00682305" w:rsidRPr="001C6B35">
        <w:rPr>
          <w:rFonts w:ascii="TyponineSans Reg" w:hAnsi="TyponineSans Reg" w:cs="Calibri"/>
          <w:szCs w:val="22"/>
        </w:rPr>
        <w:t>1</w:t>
      </w:r>
      <w:r w:rsidR="00BF4B42" w:rsidRPr="001C6B35">
        <w:rPr>
          <w:rFonts w:ascii="TyponineSans Reg" w:hAnsi="TyponineSans Reg" w:cs="Calibri"/>
          <w:szCs w:val="22"/>
        </w:rPr>
        <w:t>3</w:t>
      </w:r>
      <w:r w:rsidRPr="001C6B35">
        <w:rPr>
          <w:rFonts w:ascii="TyponineSans Reg" w:hAnsi="TyponineSans Reg" w:cs="Calibri"/>
          <w:szCs w:val="22"/>
        </w:rPr>
        <w:t xml:space="preserve">%  odnosno </w:t>
      </w:r>
      <w:r w:rsidR="00682305" w:rsidRPr="001C6B35">
        <w:rPr>
          <w:rFonts w:ascii="TyponineSans Reg" w:hAnsi="TyponineSans Reg" w:cs="Calibri"/>
          <w:szCs w:val="22"/>
        </w:rPr>
        <w:t>1.03</w:t>
      </w:r>
      <w:r w:rsidR="00BF4B42" w:rsidRPr="001C6B35">
        <w:rPr>
          <w:rFonts w:ascii="TyponineSans Reg" w:hAnsi="TyponineSans Reg" w:cs="Calibri"/>
          <w:szCs w:val="22"/>
        </w:rPr>
        <w:t>1</w:t>
      </w:r>
      <w:r w:rsidR="00682305" w:rsidRPr="001C6B35">
        <w:rPr>
          <w:rFonts w:ascii="TyponineSans Reg" w:hAnsi="TyponineSans Reg" w:cs="Calibri"/>
          <w:szCs w:val="22"/>
        </w:rPr>
        <w:t>.</w:t>
      </w:r>
      <w:r w:rsidR="00BF4B42" w:rsidRPr="001C6B35">
        <w:rPr>
          <w:rFonts w:ascii="TyponineSans Reg" w:hAnsi="TyponineSans Reg" w:cs="Calibri"/>
          <w:szCs w:val="22"/>
        </w:rPr>
        <w:t>525</w:t>
      </w:r>
      <w:r w:rsidR="00682305" w:rsidRPr="001C6B35">
        <w:rPr>
          <w:rFonts w:ascii="TyponineSans Reg" w:hAnsi="TyponineSans Reg" w:cs="Calibri"/>
          <w:szCs w:val="22"/>
        </w:rPr>
        <w:t>,</w:t>
      </w:r>
      <w:r w:rsidR="00BF4B42" w:rsidRPr="001C6B35">
        <w:rPr>
          <w:rFonts w:ascii="TyponineSans Reg" w:hAnsi="TyponineSans Reg" w:cs="Calibri"/>
          <w:szCs w:val="22"/>
        </w:rPr>
        <w:t>87</w:t>
      </w:r>
      <w:r w:rsidRPr="001C6B35">
        <w:rPr>
          <w:rFonts w:ascii="TyponineSans Reg" w:hAnsi="TyponineSans Reg" w:cs="Calibri"/>
          <w:szCs w:val="22"/>
        </w:rPr>
        <w:t xml:space="preserve"> </w:t>
      </w:r>
      <w:r w:rsidR="00C87716" w:rsidRPr="001C6B35">
        <w:rPr>
          <w:rFonts w:ascii="TyponineSans Reg" w:hAnsi="TyponineSans Reg" w:cs="Calibri"/>
          <w:szCs w:val="22"/>
        </w:rPr>
        <w:t xml:space="preserve">EUR </w:t>
      </w:r>
      <w:r w:rsidR="00682305" w:rsidRPr="001C6B35">
        <w:rPr>
          <w:rFonts w:ascii="TyponineSans Reg" w:hAnsi="TyponineSans Reg" w:cs="Calibri"/>
          <w:szCs w:val="22"/>
        </w:rPr>
        <w:t>više</w:t>
      </w:r>
      <w:r w:rsidRPr="001C6B35">
        <w:rPr>
          <w:rFonts w:ascii="TyponineSans Reg" w:hAnsi="TyponineSans Reg" w:cs="Calibri"/>
          <w:szCs w:val="22"/>
        </w:rPr>
        <w:t xml:space="preserve"> od ostvarenih ukupnih prihoda u 202</w:t>
      </w:r>
      <w:r w:rsidR="00682305" w:rsidRPr="001C6B35">
        <w:rPr>
          <w:rFonts w:ascii="TyponineSans Reg" w:hAnsi="TyponineSans Reg" w:cs="Calibri"/>
          <w:szCs w:val="22"/>
        </w:rPr>
        <w:t>3</w:t>
      </w:r>
      <w:r w:rsidRPr="001C6B35">
        <w:rPr>
          <w:rFonts w:ascii="TyponineSans Reg" w:hAnsi="TyponineSans Reg" w:cs="Calibri"/>
          <w:szCs w:val="22"/>
        </w:rPr>
        <w:t>. godini.</w:t>
      </w:r>
    </w:p>
    <w:p w14:paraId="3DC8ADE2" w14:textId="77777777" w:rsidR="00697490" w:rsidRPr="001C6B35" w:rsidRDefault="00697490" w:rsidP="00697490">
      <w:pPr>
        <w:jc w:val="both"/>
        <w:rPr>
          <w:rFonts w:ascii="TyponineSans Reg" w:hAnsi="TyponineSans Reg"/>
          <w:szCs w:val="22"/>
        </w:rPr>
      </w:pPr>
    </w:p>
    <w:p w14:paraId="294B6BD3" w14:textId="2CD6072F" w:rsidR="00697490" w:rsidRPr="001C6B35" w:rsidRDefault="00697490" w:rsidP="00F6732C">
      <w:pPr>
        <w:jc w:val="both"/>
        <w:rPr>
          <w:rFonts w:ascii="TyponineSans Reg" w:hAnsi="TyponineSans Reg"/>
          <w:b/>
          <w:sz w:val="24"/>
        </w:rPr>
      </w:pPr>
      <w:r w:rsidRPr="001C6B35">
        <w:rPr>
          <w:rFonts w:ascii="TyponineSans Reg" w:hAnsi="TyponineSans Reg"/>
          <w:szCs w:val="22"/>
        </w:rPr>
        <w:t>U razdoblju od siječnja do prosinca 202</w:t>
      </w:r>
      <w:r w:rsidR="00682305" w:rsidRPr="001C6B35">
        <w:rPr>
          <w:rFonts w:ascii="TyponineSans Reg" w:hAnsi="TyponineSans Reg"/>
          <w:szCs w:val="22"/>
        </w:rPr>
        <w:t>4</w:t>
      </w:r>
      <w:r w:rsidRPr="001C6B35">
        <w:rPr>
          <w:rFonts w:ascii="TyponineSans Reg" w:hAnsi="TyponineSans Reg"/>
          <w:szCs w:val="22"/>
        </w:rPr>
        <w:t>. godine Ustanova je ostvarila 1</w:t>
      </w:r>
      <w:r w:rsidR="00682305" w:rsidRPr="001C6B35">
        <w:rPr>
          <w:rFonts w:ascii="TyponineSans Reg" w:hAnsi="TyponineSans Reg"/>
          <w:szCs w:val="22"/>
        </w:rPr>
        <w:t>2</w:t>
      </w:r>
      <w:r w:rsidRPr="001C6B35">
        <w:rPr>
          <w:rFonts w:ascii="TyponineSans Reg" w:hAnsi="TyponineSans Reg"/>
          <w:szCs w:val="22"/>
        </w:rPr>
        <w:t>.</w:t>
      </w:r>
      <w:r w:rsidR="00682305" w:rsidRPr="001C6B35">
        <w:rPr>
          <w:rFonts w:ascii="TyponineSans Reg" w:hAnsi="TyponineSans Reg"/>
          <w:szCs w:val="22"/>
        </w:rPr>
        <w:t>31</w:t>
      </w:r>
      <w:r w:rsidRPr="001C6B35">
        <w:rPr>
          <w:rFonts w:ascii="TyponineSans Reg" w:hAnsi="TyponineSans Reg"/>
          <w:szCs w:val="22"/>
        </w:rPr>
        <w:t>1.</w:t>
      </w:r>
      <w:r w:rsidR="00682305" w:rsidRPr="001C6B35">
        <w:rPr>
          <w:rFonts w:ascii="TyponineSans Reg" w:hAnsi="TyponineSans Reg"/>
          <w:szCs w:val="22"/>
        </w:rPr>
        <w:t>729,87</w:t>
      </w:r>
      <w:r w:rsidRPr="001C6B35">
        <w:rPr>
          <w:rFonts w:ascii="TyponineSans Reg" w:hAnsi="TyponineSans Reg"/>
          <w:szCs w:val="22"/>
        </w:rPr>
        <w:t xml:space="preserve"> </w:t>
      </w:r>
      <w:r w:rsidR="00C87716" w:rsidRPr="001C6B35">
        <w:rPr>
          <w:rFonts w:ascii="TyponineSans Reg" w:hAnsi="TyponineSans Reg"/>
          <w:szCs w:val="22"/>
        </w:rPr>
        <w:t>EUR</w:t>
      </w:r>
      <w:r w:rsidRPr="001C6B35">
        <w:rPr>
          <w:rFonts w:ascii="TyponineSans Reg" w:hAnsi="TyponineSans Reg"/>
          <w:szCs w:val="22"/>
        </w:rPr>
        <w:t xml:space="preserve"> prihoda od poslovanja što je za </w:t>
      </w:r>
      <w:r w:rsidR="00682305" w:rsidRPr="001C6B35">
        <w:rPr>
          <w:rFonts w:ascii="TyponineSans Reg" w:hAnsi="TyponineSans Reg"/>
          <w:szCs w:val="22"/>
        </w:rPr>
        <w:t>9,14</w:t>
      </w:r>
      <w:r w:rsidRPr="001C6B35">
        <w:rPr>
          <w:rFonts w:ascii="TyponineSans Reg" w:hAnsi="TyponineSans Reg"/>
          <w:szCs w:val="22"/>
        </w:rPr>
        <w:t xml:space="preserve">% </w:t>
      </w:r>
      <w:r w:rsidR="00682305" w:rsidRPr="001C6B35">
        <w:rPr>
          <w:rFonts w:ascii="TyponineSans Reg" w:hAnsi="TyponineSans Reg"/>
          <w:szCs w:val="22"/>
        </w:rPr>
        <w:t>više</w:t>
      </w:r>
      <w:r w:rsidRPr="001C6B35">
        <w:rPr>
          <w:rFonts w:ascii="TyponineSans Reg" w:hAnsi="TyponineSans Reg"/>
          <w:szCs w:val="22"/>
        </w:rPr>
        <w:t xml:space="preserve"> u odnosu na ostvarene u 202</w:t>
      </w:r>
      <w:r w:rsidR="00682305" w:rsidRPr="001C6B35">
        <w:rPr>
          <w:rFonts w:ascii="TyponineSans Reg" w:hAnsi="TyponineSans Reg"/>
          <w:szCs w:val="22"/>
        </w:rPr>
        <w:t>3</w:t>
      </w:r>
      <w:r w:rsidRPr="001C6B35">
        <w:rPr>
          <w:rFonts w:ascii="TyponineSans Reg" w:hAnsi="TyponineSans Reg"/>
          <w:szCs w:val="22"/>
        </w:rPr>
        <w:t>. godini. Ostvarena je sljedeća struktura prihoda poslovanja:</w:t>
      </w:r>
    </w:p>
    <w:p w14:paraId="4D7452B2" w14:textId="3DA1D386" w:rsidR="00697490" w:rsidRPr="001C6B35" w:rsidRDefault="00697490" w:rsidP="00697490">
      <w:pPr>
        <w:jc w:val="both"/>
        <w:rPr>
          <w:rFonts w:ascii="TyponineSans Reg" w:hAnsi="TyponineSans Reg"/>
          <w:szCs w:val="22"/>
        </w:rPr>
      </w:pPr>
    </w:p>
    <w:p w14:paraId="029556BA" w14:textId="03E17F20" w:rsidR="00697490" w:rsidRPr="001C6B35" w:rsidRDefault="00697490" w:rsidP="00697490">
      <w:pPr>
        <w:pStyle w:val="Heading4"/>
        <w:rPr>
          <w:rFonts w:ascii="TyponineSans Reg" w:hAnsi="TyponineSans Reg"/>
          <w:sz w:val="22"/>
          <w:szCs w:val="22"/>
        </w:rPr>
      </w:pPr>
    </w:p>
    <w:p w14:paraId="6794AA9A" w14:textId="6B00B72F" w:rsidR="00697490" w:rsidRPr="00FC7FEB" w:rsidRDefault="001B7F6E" w:rsidP="00697490">
      <w:pPr>
        <w:rPr>
          <w:color w:val="FF0000"/>
        </w:rPr>
      </w:pPr>
      <w:r w:rsidRPr="001B7F6E">
        <w:drawing>
          <wp:anchor distT="0" distB="0" distL="114300" distR="114300" simplePos="0" relativeHeight="251667456" behindDoc="0" locked="0" layoutInCell="1" allowOverlap="1" wp14:anchorId="71239D60" wp14:editId="1B6B407E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5760720" cy="2129790"/>
            <wp:effectExtent l="0" t="0" r="0" b="3810"/>
            <wp:wrapSquare wrapText="bothSides"/>
            <wp:docPr id="155007269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61C43D" w14:textId="77777777" w:rsidR="00697490" w:rsidRPr="001C6B35" w:rsidRDefault="00697490" w:rsidP="00697490">
      <w:pPr>
        <w:rPr>
          <w:rFonts w:ascii="TyponineSans Reg" w:hAnsi="TyponineSans Reg"/>
          <w:b/>
          <w:bCs/>
          <w:sz w:val="24"/>
          <w:szCs w:val="24"/>
        </w:rPr>
      </w:pPr>
      <w:r w:rsidRPr="001C6B35">
        <w:rPr>
          <w:rFonts w:ascii="TyponineSans Reg" w:hAnsi="TyponineSans Reg"/>
          <w:b/>
          <w:bCs/>
          <w:sz w:val="24"/>
          <w:szCs w:val="24"/>
        </w:rPr>
        <w:t>Šifra 63</w:t>
      </w:r>
    </w:p>
    <w:p w14:paraId="3AB24063" w14:textId="77777777" w:rsidR="00697490" w:rsidRPr="001C6B35" w:rsidRDefault="00697490" w:rsidP="00697490">
      <w:pPr>
        <w:pStyle w:val="Heading4"/>
        <w:rPr>
          <w:rFonts w:ascii="TyponineSans Reg" w:hAnsi="TyponineSans Reg"/>
          <w:i/>
          <w:sz w:val="24"/>
          <w:szCs w:val="24"/>
        </w:rPr>
      </w:pPr>
      <w:r w:rsidRPr="001C6B35">
        <w:rPr>
          <w:rFonts w:ascii="TyponineSans Reg" w:hAnsi="TyponineSans Reg"/>
          <w:sz w:val="24"/>
          <w:szCs w:val="24"/>
        </w:rPr>
        <w:t>Pomoći iz inozemstva i od subjekata unutar općeg proračuna</w:t>
      </w:r>
    </w:p>
    <w:p w14:paraId="635CE2D7" w14:textId="77777777" w:rsidR="00697490" w:rsidRPr="001C6B35" w:rsidRDefault="00697490" w:rsidP="00697490">
      <w:pPr>
        <w:rPr>
          <w:rFonts w:ascii="TyponineSans Reg" w:hAnsi="TyponineSans Reg"/>
          <w:szCs w:val="22"/>
        </w:rPr>
      </w:pPr>
    </w:p>
    <w:p w14:paraId="7D7739E1" w14:textId="649C4079" w:rsidR="00697490" w:rsidRPr="001C6B35" w:rsidRDefault="00697490" w:rsidP="00697490">
      <w:pPr>
        <w:jc w:val="both"/>
        <w:rPr>
          <w:rFonts w:ascii="TyponineSans Reg" w:hAnsi="TyponineSans Reg"/>
          <w:szCs w:val="22"/>
        </w:rPr>
      </w:pPr>
      <w:r w:rsidRPr="001C6B35">
        <w:rPr>
          <w:rFonts w:ascii="TyponineSans Reg" w:hAnsi="TyponineSans Reg"/>
          <w:szCs w:val="22"/>
        </w:rPr>
        <w:t xml:space="preserve">Prihodi iskazani na šifri 63 u iznosu </w:t>
      </w:r>
      <w:r w:rsidR="001B7F6E" w:rsidRPr="001C6B35">
        <w:rPr>
          <w:rFonts w:ascii="TyponineSans Reg" w:hAnsi="TyponineSans Reg"/>
          <w:szCs w:val="22"/>
        </w:rPr>
        <w:t>468.282,62</w:t>
      </w:r>
      <w:r w:rsidRPr="001C6B35">
        <w:rPr>
          <w:rFonts w:ascii="TyponineSans Reg" w:hAnsi="TyponineSans Reg"/>
          <w:szCs w:val="22"/>
        </w:rPr>
        <w:t xml:space="preserve"> </w:t>
      </w:r>
      <w:r w:rsidR="00C87716" w:rsidRPr="001C6B35">
        <w:rPr>
          <w:rFonts w:ascii="TyponineSans Reg" w:hAnsi="TyponineSans Reg"/>
          <w:szCs w:val="22"/>
        </w:rPr>
        <w:t>EUR</w:t>
      </w:r>
      <w:r w:rsidRPr="001C6B35">
        <w:rPr>
          <w:rFonts w:ascii="TyponineSans Reg" w:hAnsi="TyponineSans Reg"/>
          <w:szCs w:val="22"/>
        </w:rPr>
        <w:t xml:space="preserve"> odnose se na:</w:t>
      </w:r>
    </w:p>
    <w:p w14:paraId="61F45C88" w14:textId="77777777" w:rsidR="00697490" w:rsidRPr="001C6B35" w:rsidRDefault="00697490" w:rsidP="00697490">
      <w:pPr>
        <w:jc w:val="both"/>
        <w:rPr>
          <w:rFonts w:ascii="TyponineSans Reg" w:hAnsi="TyponineSans Reg"/>
          <w:szCs w:val="22"/>
        </w:rPr>
      </w:pPr>
    </w:p>
    <w:p w14:paraId="768EA78B" w14:textId="33BF26AC" w:rsidR="00697490" w:rsidRPr="001C6B35" w:rsidRDefault="00697490" w:rsidP="00697490">
      <w:pPr>
        <w:numPr>
          <w:ilvl w:val="0"/>
          <w:numId w:val="35"/>
        </w:numPr>
        <w:ind w:left="780"/>
        <w:jc w:val="both"/>
        <w:rPr>
          <w:rFonts w:ascii="TyponineSans Reg" w:hAnsi="TyponineSans Reg" w:cs="Calibri"/>
          <w:szCs w:val="22"/>
        </w:rPr>
      </w:pPr>
      <w:r w:rsidRPr="001C6B35">
        <w:rPr>
          <w:rFonts w:ascii="TyponineSans Reg" w:hAnsi="TyponineSans Reg"/>
          <w:szCs w:val="22"/>
        </w:rPr>
        <w:t xml:space="preserve">sredstva primljena za provedbu projekta </w:t>
      </w:r>
      <w:r w:rsidR="00B422C9" w:rsidRPr="001C6B35">
        <w:rPr>
          <w:rFonts w:ascii="TyponineSans Reg" w:hAnsi="TyponineSans Reg"/>
          <w:shd w:val="clear" w:color="auto" w:fill="FFFFFF"/>
        </w:rPr>
        <w:t>Interreg Euro-MED Programme, 2021 - 2027</w:t>
      </w:r>
      <w:r w:rsidRPr="001C6B35">
        <w:rPr>
          <w:rFonts w:ascii="TyponineSans Reg" w:hAnsi="TyponineSans Reg" w:cs="Calibri"/>
          <w:szCs w:val="22"/>
        </w:rPr>
        <w:t xml:space="preserve"> g. </w:t>
      </w:r>
      <w:r w:rsidR="006C4487" w:rsidRPr="001C6B35">
        <w:rPr>
          <w:rFonts w:ascii="TyponineSans Reg" w:hAnsi="TyponineSans Reg" w:cs="Calibri"/>
          <w:szCs w:val="22"/>
        </w:rPr>
        <w:t xml:space="preserve">MPA4Change </w:t>
      </w:r>
      <w:r w:rsidRPr="001C6B35">
        <w:rPr>
          <w:rFonts w:ascii="TyponineSans Reg" w:hAnsi="TyponineSans Reg" w:cs="Calibri"/>
          <w:szCs w:val="22"/>
        </w:rPr>
        <w:t xml:space="preserve">u iznosu </w:t>
      </w:r>
      <w:r w:rsidR="001B7F6E" w:rsidRPr="001C6B35">
        <w:rPr>
          <w:rFonts w:ascii="TyponineSans Reg" w:hAnsi="TyponineSans Reg" w:cs="Calibri"/>
          <w:szCs w:val="22"/>
        </w:rPr>
        <w:t>800,00</w:t>
      </w:r>
      <w:r w:rsidRPr="001C6B35">
        <w:rPr>
          <w:rFonts w:ascii="TyponineSans Reg" w:hAnsi="TyponineSans Reg" w:cs="Calibri"/>
          <w:szCs w:val="22"/>
        </w:rPr>
        <w:t xml:space="preserve"> </w:t>
      </w:r>
      <w:r w:rsidR="00C87716" w:rsidRPr="001C6B35">
        <w:rPr>
          <w:rFonts w:ascii="TyponineSans Reg" w:hAnsi="TyponineSans Reg" w:cs="Calibri"/>
          <w:szCs w:val="22"/>
        </w:rPr>
        <w:t>EUR</w:t>
      </w:r>
      <w:r w:rsidRPr="001C6B35">
        <w:rPr>
          <w:rFonts w:ascii="TyponineSans Reg" w:hAnsi="TyponineSans Reg" w:cs="Calibri"/>
          <w:szCs w:val="22"/>
        </w:rPr>
        <w:t xml:space="preserve"> za tekuće pomoći </w:t>
      </w:r>
    </w:p>
    <w:p w14:paraId="59BE6D0A" w14:textId="5D9DD7F6" w:rsidR="00697490" w:rsidRPr="001C6B35" w:rsidRDefault="00697490" w:rsidP="00697490">
      <w:pPr>
        <w:numPr>
          <w:ilvl w:val="0"/>
          <w:numId w:val="37"/>
        </w:numPr>
        <w:jc w:val="both"/>
        <w:rPr>
          <w:rFonts w:ascii="TyponineSans Reg" w:hAnsi="TyponineSans Reg"/>
          <w:szCs w:val="22"/>
        </w:rPr>
      </w:pPr>
      <w:r w:rsidRPr="001C6B35">
        <w:rPr>
          <w:rFonts w:ascii="TyponineSans Reg" w:hAnsi="TyponineSans Reg"/>
          <w:szCs w:val="22"/>
        </w:rPr>
        <w:t xml:space="preserve">sredstva primljena od strane Fonda za zaštitu i energetsku učinkovitost </w:t>
      </w:r>
      <w:r w:rsidR="00040A18" w:rsidRPr="001C6B35">
        <w:rPr>
          <w:rFonts w:ascii="TyponineSans Reg" w:hAnsi="TyponineSans Reg"/>
          <w:szCs w:val="22"/>
        </w:rPr>
        <w:t>za</w:t>
      </w:r>
      <w:r w:rsidRPr="001C6B35">
        <w:rPr>
          <w:rFonts w:ascii="TyponineSans Reg" w:hAnsi="TyponineSans Reg"/>
          <w:szCs w:val="22"/>
        </w:rPr>
        <w:t xml:space="preserve"> refundaciju prihvatljivih troškova nastalih temeljem provedbe projekta očuvanja periske</w:t>
      </w:r>
      <w:r w:rsidR="001B7F6E" w:rsidRPr="001C6B35">
        <w:rPr>
          <w:rFonts w:ascii="TyponineSans Reg" w:hAnsi="TyponineSans Reg"/>
          <w:szCs w:val="22"/>
        </w:rPr>
        <w:t xml:space="preserve"> u </w:t>
      </w:r>
      <w:r w:rsidR="005D1475" w:rsidRPr="001C6B35">
        <w:rPr>
          <w:rFonts w:ascii="TyponineSans Reg" w:hAnsi="TyponineSans Reg"/>
          <w:szCs w:val="22"/>
        </w:rPr>
        <w:t xml:space="preserve">Sjevernom Jadranu </w:t>
      </w:r>
      <w:r w:rsidR="000263FD">
        <w:rPr>
          <w:rFonts w:ascii="TyponineSans Reg" w:hAnsi="TyponineSans Reg"/>
          <w:szCs w:val="22"/>
        </w:rPr>
        <w:t xml:space="preserve"> </w:t>
      </w:r>
      <w:r w:rsidR="005D1475" w:rsidRPr="001C6B35">
        <w:rPr>
          <w:rFonts w:ascii="TyponineSans Reg" w:hAnsi="TyponineSans Reg"/>
          <w:szCs w:val="22"/>
        </w:rPr>
        <w:t xml:space="preserve">u </w:t>
      </w:r>
      <w:r w:rsidR="000263FD">
        <w:rPr>
          <w:rFonts w:ascii="TyponineSans Reg" w:hAnsi="TyponineSans Reg"/>
          <w:szCs w:val="22"/>
        </w:rPr>
        <w:t xml:space="preserve"> </w:t>
      </w:r>
      <w:r w:rsidR="001B7F6E" w:rsidRPr="001C6B35">
        <w:rPr>
          <w:rFonts w:ascii="TyponineSans Reg" w:hAnsi="TyponineSans Reg"/>
          <w:szCs w:val="22"/>
        </w:rPr>
        <w:t xml:space="preserve">iznosu </w:t>
      </w:r>
      <w:r w:rsidR="00074E73" w:rsidRPr="001C6B35">
        <w:rPr>
          <w:rFonts w:ascii="TyponineSans Reg" w:hAnsi="TyponineSans Reg"/>
          <w:szCs w:val="22"/>
        </w:rPr>
        <w:t>4</w:t>
      </w:r>
      <w:r w:rsidR="00E030FD" w:rsidRPr="001C6B35">
        <w:rPr>
          <w:rFonts w:ascii="TyponineSans Reg" w:hAnsi="TyponineSans Reg"/>
          <w:szCs w:val="22"/>
        </w:rPr>
        <w:t>3</w:t>
      </w:r>
      <w:r w:rsidR="00074E73" w:rsidRPr="001C6B35">
        <w:rPr>
          <w:rFonts w:ascii="TyponineSans Reg" w:hAnsi="TyponineSans Reg"/>
          <w:szCs w:val="22"/>
        </w:rPr>
        <w:t>.</w:t>
      </w:r>
      <w:r w:rsidR="00E030FD" w:rsidRPr="001C6B35">
        <w:rPr>
          <w:rFonts w:ascii="TyponineSans Reg" w:hAnsi="TyponineSans Reg"/>
          <w:szCs w:val="22"/>
        </w:rPr>
        <w:t>065,25</w:t>
      </w:r>
      <w:r w:rsidR="000263FD">
        <w:rPr>
          <w:rFonts w:ascii="TyponineSans Reg" w:hAnsi="TyponineSans Reg"/>
          <w:szCs w:val="22"/>
        </w:rPr>
        <w:t xml:space="preserve"> </w:t>
      </w:r>
      <w:r w:rsidR="005D1475" w:rsidRPr="001C6B35">
        <w:rPr>
          <w:rFonts w:ascii="TyponineSans Reg" w:hAnsi="TyponineSans Reg"/>
          <w:szCs w:val="22"/>
        </w:rPr>
        <w:t xml:space="preserve"> EUR</w:t>
      </w:r>
      <w:r w:rsidRPr="001C6B35">
        <w:rPr>
          <w:rFonts w:ascii="TyponineSans Reg" w:hAnsi="TyponineSans Reg"/>
          <w:szCs w:val="22"/>
        </w:rPr>
        <w:t xml:space="preserve">, </w:t>
      </w:r>
      <w:r w:rsidR="000263FD">
        <w:rPr>
          <w:rFonts w:ascii="TyponineSans Reg" w:hAnsi="TyponineSans Reg"/>
          <w:szCs w:val="22"/>
        </w:rPr>
        <w:t xml:space="preserve"> </w:t>
      </w:r>
      <w:r w:rsidR="00074E73" w:rsidRPr="001C6B35">
        <w:rPr>
          <w:rFonts w:ascii="TyponineSans Reg" w:hAnsi="TyponineSans Reg"/>
          <w:szCs w:val="22"/>
        </w:rPr>
        <w:t xml:space="preserve">provedbu </w:t>
      </w:r>
      <w:r w:rsidRPr="001C6B35">
        <w:rPr>
          <w:rFonts w:ascii="TyponineSans Reg" w:hAnsi="TyponineSans Reg"/>
          <w:szCs w:val="22"/>
        </w:rPr>
        <w:t>projekta</w:t>
      </w:r>
      <w:r w:rsidR="000263FD">
        <w:rPr>
          <w:rFonts w:ascii="TyponineSans Reg" w:hAnsi="TyponineSans Reg"/>
          <w:szCs w:val="22"/>
        </w:rPr>
        <w:t xml:space="preserve"> </w:t>
      </w:r>
      <w:r w:rsidRPr="001C6B35">
        <w:rPr>
          <w:rFonts w:ascii="TyponineSans Reg" w:hAnsi="TyponineSans Reg"/>
          <w:szCs w:val="22"/>
        </w:rPr>
        <w:t xml:space="preserve"> </w:t>
      </w:r>
      <w:r w:rsidR="00074E73" w:rsidRPr="001C6B35">
        <w:rPr>
          <w:rFonts w:ascii="TyponineSans Reg" w:hAnsi="TyponineSans Reg"/>
          <w:szCs w:val="22"/>
        </w:rPr>
        <w:t>sanacije</w:t>
      </w:r>
      <w:r w:rsidR="005D1475" w:rsidRPr="001C6B35">
        <w:rPr>
          <w:rFonts w:ascii="TyponineSans Reg" w:hAnsi="TyponineSans Reg"/>
          <w:szCs w:val="22"/>
        </w:rPr>
        <w:t xml:space="preserve"> postojećih </w:t>
      </w:r>
      <w:r w:rsidR="000263FD">
        <w:rPr>
          <w:rFonts w:ascii="TyponineSans Reg" w:hAnsi="TyponineSans Reg"/>
          <w:szCs w:val="22"/>
        </w:rPr>
        <w:t xml:space="preserve"> </w:t>
      </w:r>
      <w:r w:rsidR="00074E73" w:rsidRPr="001C6B35">
        <w:rPr>
          <w:rFonts w:ascii="TyponineSans Reg" w:hAnsi="TyponineSans Reg"/>
          <w:szCs w:val="22"/>
        </w:rPr>
        <w:t xml:space="preserve"> puteva </w:t>
      </w:r>
      <w:r w:rsidR="005D1475" w:rsidRPr="001C6B35">
        <w:rPr>
          <w:rFonts w:ascii="TyponineSans Reg" w:hAnsi="TyponineSans Reg"/>
          <w:szCs w:val="22"/>
        </w:rPr>
        <w:t>i</w:t>
      </w:r>
      <w:r w:rsidR="000263FD">
        <w:rPr>
          <w:rFonts w:ascii="TyponineSans Reg" w:hAnsi="TyponineSans Reg"/>
          <w:szCs w:val="22"/>
        </w:rPr>
        <w:t xml:space="preserve"> </w:t>
      </w:r>
      <w:r w:rsidR="005D1475" w:rsidRPr="001C6B35">
        <w:rPr>
          <w:rFonts w:ascii="TyponineSans Reg" w:hAnsi="TyponineSans Reg"/>
          <w:szCs w:val="22"/>
        </w:rPr>
        <w:t xml:space="preserve"> prometnica </w:t>
      </w:r>
      <w:r w:rsidR="00074E73" w:rsidRPr="001C6B35">
        <w:rPr>
          <w:rFonts w:ascii="TyponineSans Reg" w:hAnsi="TyponineSans Reg"/>
          <w:szCs w:val="22"/>
        </w:rPr>
        <w:t>na Velik</w:t>
      </w:r>
      <w:r w:rsidR="005D1475" w:rsidRPr="001C6B35">
        <w:rPr>
          <w:rFonts w:ascii="TyponineSans Reg" w:hAnsi="TyponineSans Reg"/>
          <w:szCs w:val="22"/>
        </w:rPr>
        <w:t>om</w:t>
      </w:r>
      <w:r w:rsidR="00074E73" w:rsidRPr="001C6B35">
        <w:rPr>
          <w:rFonts w:ascii="TyponineSans Reg" w:hAnsi="TyponineSans Reg"/>
          <w:szCs w:val="22"/>
        </w:rPr>
        <w:t xml:space="preserve"> Brijun</w:t>
      </w:r>
      <w:r w:rsidR="005D1475" w:rsidRPr="001C6B35">
        <w:rPr>
          <w:rFonts w:ascii="TyponineSans Reg" w:hAnsi="TyponineSans Reg"/>
          <w:szCs w:val="22"/>
        </w:rPr>
        <w:t>u</w:t>
      </w:r>
      <w:r w:rsidR="00074E73" w:rsidRPr="001C6B35">
        <w:rPr>
          <w:rFonts w:ascii="TyponineSans Reg" w:hAnsi="TyponineSans Reg"/>
          <w:szCs w:val="22"/>
        </w:rPr>
        <w:t xml:space="preserve"> u iznosu 21</w:t>
      </w:r>
      <w:r w:rsidR="006B50A4" w:rsidRPr="001C6B35">
        <w:rPr>
          <w:rFonts w:ascii="TyponineSans Reg" w:hAnsi="TyponineSans Reg"/>
          <w:szCs w:val="22"/>
        </w:rPr>
        <w:t>4</w:t>
      </w:r>
      <w:r w:rsidR="00074E73" w:rsidRPr="001C6B35">
        <w:rPr>
          <w:rFonts w:ascii="TyponineSans Reg" w:hAnsi="TyponineSans Reg"/>
          <w:szCs w:val="22"/>
        </w:rPr>
        <w:t>.</w:t>
      </w:r>
      <w:r w:rsidR="006B50A4" w:rsidRPr="001C6B35">
        <w:rPr>
          <w:rFonts w:ascii="TyponineSans Reg" w:hAnsi="TyponineSans Reg"/>
          <w:szCs w:val="22"/>
        </w:rPr>
        <w:t>140,5</w:t>
      </w:r>
      <w:r w:rsidR="00074E73" w:rsidRPr="001C6B35">
        <w:rPr>
          <w:rFonts w:ascii="TyponineSans Reg" w:hAnsi="TyponineSans Reg"/>
          <w:szCs w:val="22"/>
        </w:rPr>
        <w:t xml:space="preserve">0 </w:t>
      </w:r>
      <w:r w:rsidR="005D1475" w:rsidRPr="001C6B35">
        <w:rPr>
          <w:rFonts w:ascii="TyponineSans Reg" w:hAnsi="TyponineSans Reg"/>
          <w:szCs w:val="22"/>
        </w:rPr>
        <w:t>EUR</w:t>
      </w:r>
      <w:r w:rsidR="00074E73" w:rsidRPr="001C6B35">
        <w:rPr>
          <w:rFonts w:ascii="TyponineSans Reg" w:hAnsi="TyponineSans Reg"/>
          <w:szCs w:val="22"/>
        </w:rPr>
        <w:t xml:space="preserve">, provedbu projekta financiranja izrade </w:t>
      </w:r>
      <w:r w:rsidR="005D1475" w:rsidRPr="001C6B35">
        <w:rPr>
          <w:rFonts w:ascii="TyponineSans Reg" w:hAnsi="TyponineSans Reg"/>
          <w:szCs w:val="22"/>
        </w:rPr>
        <w:t xml:space="preserve">projektne </w:t>
      </w:r>
      <w:r w:rsidR="00074E73" w:rsidRPr="001C6B35">
        <w:rPr>
          <w:rFonts w:ascii="TyponineSans Reg" w:hAnsi="TyponineSans Reg"/>
          <w:szCs w:val="22"/>
        </w:rPr>
        <w:t xml:space="preserve">dokumentacije za projekt </w:t>
      </w:r>
      <w:r w:rsidR="00074E73" w:rsidRPr="001C6B35">
        <w:rPr>
          <w:rFonts w:ascii="TyponineSans Reg" w:hAnsi="TyponineSans Reg"/>
          <w:szCs w:val="22"/>
        </w:rPr>
        <w:lastRenderedPageBreak/>
        <w:t xml:space="preserve">obnove Vile Kupelwieser </w:t>
      </w:r>
      <w:r w:rsidR="005D1475" w:rsidRPr="001C6B35">
        <w:rPr>
          <w:rFonts w:ascii="TyponineSans Reg" w:hAnsi="TyponineSans Reg"/>
          <w:szCs w:val="22"/>
        </w:rPr>
        <w:t>u</w:t>
      </w:r>
      <w:r w:rsidRPr="001C6B35">
        <w:rPr>
          <w:rFonts w:ascii="TyponineSans Reg" w:hAnsi="TyponineSans Reg"/>
          <w:szCs w:val="22"/>
        </w:rPr>
        <w:t xml:space="preserve"> iznosu od </w:t>
      </w:r>
      <w:r w:rsidR="00074E73" w:rsidRPr="001C6B35">
        <w:rPr>
          <w:rFonts w:ascii="TyponineSans Reg" w:hAnsi="TyponineSans Reg"/>
          <w:szCs w:val="22"/>
        </w:rPr>
        <w:t xml:space="preserve">61.559,73 </w:t>
      </w:r>
      <w:r w:rsidR="005D1475" w:rsidRPr="001C6B35">
        <w:rPr>
          <w:rFonts w:ascii="TyponineSans Reg" w:hAnsi="TyponineSans Reg"/>
          <w:szCs w:val="22"/>
        </w:rPr>
        <w:t>EUR</w:t>
      </w:r>
      <w:r w:rsidR="00074E73" w:rsidRPr="001C6B35">
        <w:rPr>
          <w:rFonts w:ascii="TyponineSans Reg" w:hAnsi="TyponineSans Reg"/>
          <w:szCs w:val="22"/>
        </w:rPr>
        <w:t xml:space="preserve"> </w:t>
      </w:r>
      <w:r w:rsidR="005D1475" w:rsidRPr="001C6B35">
        <w:rPr>
          <w:rFonts w:ascii="TyponineSans Reg" w:hAnsi="TyponineSans Reg"/>
          <w:szCs w:val="22"/>
        </w:rPr>
        <w:t>i</w:t>
      </w:r>
      <w:r w:rsidR="00074E73" w:rsidRPr="001C6B35">
        <w:rPr>
          <w:rFonts w:ascii="TyponineSans Reg" w:hAnsi="TyponineSans Reg"/>
          <w:szCs w:val="22"/>
        </w:rPr>
        <w:t xml:space="preserve"> provedbu projekta financiranja izrade</w:t>
      </w:r>
      <w:r w:rsidR="002D0C82" w:rsidRPr="001C6B35">
        <w:rPr>
          <w:rFonts w:ascii="TyponineSans Reg" w:hAnsi="TyponineSans Reg"/>
          <w:szCs w:val="22"/>
        </w:rPr>
        <w:t xml:space="preserve"> projektne</w:t>
      </w:r>
      <w:r w:rsidR="00074E73" w:rsidRPr="001C6B35">
        <w:rPr>
          <w:rFonts w:ascii="TyponineSans Reg" w:hAnsi="TyponineSans Reg"/>
          <w:szCs w:val="22"/>
        </w:rPr>
        <w:t xml:space="preserve"> dokumentacije </w:t>
      </w:r>
      <w:r w:rsidR="002D0C82" w:rsidRPr="001C6B35">
        <w:rPr>
          <w:rFonts w:ascii="TyponineSans Reg" w:hAnsi="TyponineSans Reg"/>
          <w:szCs w:val="22"/>
        </w:rPr>
        <w:t xml:space="preserve">uređenje okoliša na otoku </w:t>
      </w:r>
      <w:r w:rsidR="00074E73" w:rsidRPr="001C6B35">
        <w:rPr>
          <w:rFonts w:ascii="TyponineSans Reg" w:hAnsi="TyponineSans Reg"/>
          <w:szCs w:val="22"/>
        </w:rPr>
        <w:t xml:space="preserve">Mali Brijun u iznosu 8.800 </w:t>
      </w:r>
      <w:r w:rsidR="005D1475" w:rsidRPr="001C6B35">
        <w:rPr>
          <w:rFonts w:ascii="TyponineSans Reg" w:hAnsi="TyponineSans Reg"/>
          <w:szCs w:val="22"/>
        </w:rPr>
        <w:t>EUR</w:t>
      </w:r>
      <w:r w:rsidRPr="001C6B35">
        <w:rPr>
          <w:rFonts w:ascii="TyponineSans Reg" w:hAnsi="TyponineSans Reg"/>
          <w:szCs w:val="22"/>
        </w:rPr>
        <w:t xml:space="preserve"> za nadoknadu tekućih troškova</w:t>
      </w:r>
      <w:r w:rsidR="005D1475" w:rsidRPr="001C6B35">
        <w:rPr>
          <w:rFonts w:ascii="TyponineSans Reg" w:hAnsi="TyponineSans Reg"/>
          <w:szCs w:val="22"/>
        </w:rPr>
        <w:t>.</w:t>
      </w:r>
      <w:r w:rsidRPr="001C6B35">
        <w:rPr>
          <w:rFonts w:ascii="TyponineSans Reg" w:hAnsi="TyponineSans Reg"/>
          <w:szCs w:val="22"/>
        </w:rPr>
        <w:t xml:space="preserve"> </w:t>
      </w:r>
      <w:r w:rsidR="005D1475" w:rsidRPr="001C6B35">
        <w:rPr>
          <w:rFonts w:ascii="TyponineSans Reg" w:hAnsi="TyponineSans Reg"/>
          <w:szCs w:val="22"/>
        </w:rPr>
        <w:t>S</w:t>
      </w:r>
      <w:r w:rsidRPr="001C6B35">
        <w:rPr>
          <w:rFonts w:ascii="TyponineSans Reg" w:hAnsi="TyponineSans Reg"/>
          <w:szCs w:val="22"/>
        </w:rPr>
        <w:t xml:space="preserve">redstva primljena od HZMO-a, HZZ-a i HZZO-a odnose se na potpore isplaćene za Mjeru  stalni sezonac  u iznosu od </w:t>
      </w:r>
      <w:r w:rsidR="004478DB" w:rsidRPr="001C6B35">
        <w:rPr>
          <w:rFonts w:ascii="TyponineSans Reg" w:hAnsi="TyponineSans Reg"/>
          <w:szCs w:val="22"/>
        </w:rPr>
        <w:t>1.416,24</w:t>
      </w:r>
      <w:r w:rsidRPr="001C6B35">
        <w:rPr>
          <w:rFonts w:ascii="TyponineSans Reg" w:hAnsi="TyponineSans Reg"/>
          <w:szCs w:val="22"/>
        </w:rPr>
        <w:t xml:space="preserve"> </w:t>
      </w:r>
      <w:r w:rsidR="00C87716" w:rsidRPr="001C6B35">
        <w:rPr>
          <w:rFonts w:ascii="TyponineSans Reg" w:hAnsi="TyponineSans Reg"/>
          <w:szCs w:val="22"/>
        </w:rPr>
        <w:t>EUR</w:t>
      </w:r>
      <w:r w:rsidRPr="001C6B35">
        <w:rPr>
          <w:rFonts w:ascii="TyponineSans Reg" w:hAnsi="TyponineSans Reg"/>
          <w:szCs w:val="22"/>
        </w:rPr>
        <w:t xml:space="preserve"> </w:t>
      </w:r>
    </w:p>
    <w:p w14:paraId="73C3B861" w14:textId="19467B55" w:rsidR="00697490" w:rsidRPr="001C6B35" w:rsidRDefault="00697490" w:rsidP="00697490">
      <w:pPr>
        <w:numPr>
          <w:ilvl w:val="0"/>
          <w:numId w:val="37"/>
        </w:numPr>
        <w:jc w:val="both"/>
        <w:rPr>
          <w:rFonts w:ascii="TyponineSans Reg" w:hAnsi="TyponineSans Reg"/>
          <w:b/>
          <w:sz w:val="24"/>
          <w:szCs w:val="24"/>
        </w:rPr>
      </w:pPr>
      <w:r w:rsidRPr="001C6B35">
        <w:rPr>
          <w:rFonts w:ascii="TyponineSans Reg" w:hAnsi="TyponineSans Reg"/>
          <w:szCs w:val="22"/>
        </w:rPr>
        <w:t>Prijenos</w:t>
      </w:r>
      <w:r w:rsidR="00656E79" w:rsidRPr="001C6B35">
        <w:rPr>
          <w:rFonts w:ascii="TyponineSans Reg" w:hAnsi="TyponineSans Reg"/>
          <w:szCs w:val="22"/>
        </w:rPr>
        <w:t>e</w:t>
      </w:r>
      <w:r w:rsidRPr="001C6B35">
        <w:rPr>
          <w:rFonts w:ascii="TyponineSans Reg" w:hAnsi="TyponineSans Reg"/>
          <w:szCs w:val="22"/>
        </w:rPr>
        <w:t xml:space="preserve"> između proračunskih korisnika istog proračuna u iznosu </w:t>
      </w:r>
      <w:r w:rsidR="00B34E7D" w:rsidRPr="001C6B35">
        <w:rPr>
          <w:rFonts w:ascii="TyponineSans Reg" w:hAnsi="TyponineSans Reg"/>
          <w:szCs w:val="22"/>
        </w:rPr>
        <w:t>138.500,90</w:t>
      </w:r>
      <w:r w:rsidRPr="001C6B35">
        <w:rPr>
          <w:rFonts w:ascii="TyponineSans Reg" w:hAnsi="TyponineSans Reg"/>
          <w:szCs w:val="22"/>
        </w:rPr>
        <w:t xml:space="preserve"> </w:t>
      </w:r>
      <w:r w:rsidR="00C87716" w:rsidRPr="001C6B35">
        <w:rPr>
          <w:rFonts w:ascii="TyponineSans Reg" w:hAnsi="TyponineSans Reg"/>
          <w:szCs w:val="22"/>
        </w:rPr>
        <w:t>EUR</w:t>
      </w:r>
      <w:r w:rsidR="002873F0">
        <w:rPr>
          <w:rFonts w:ascii="TyponineSans Reg" w:hAnsi="TyponineSans Reg"/>
          <w:szCs w:val="22"/>
        </w:rPr>
        <w:t xml:space="preserve"> koja se odnose na</w:t>
      </w:r>
      <w:r w:rsidRPr="001C6B35">
        <w:rPr>
          <w:rFonts w:ascii="TyponineSans Reg" w:hAnsi="TyponineSans Reg"/>
          <w:szCs w:val="22"/>
        </w:rPr>
        <w:t>:</w:t>
      </w:r>
    </w:p>
    <w:p w14:paraId="0EACF8DC" w14:textId="52FAD9FF" w:rsidR="00E030FD" w:rsidRPr="001C6B35" w:rsidRDefault="00697490" w:rsidP="00697490">
      <w:pPr>
        <w:ind w:left="720"/>
        <w:jc w:val="both"/>
        <w:rPr>
          <w:rFonts w:ascii="TyponineSans Reg" w:hAnsi="TyponineSans Reg"/>
          <w:szCs w:val="22"/>
        </w:rPr>
      </w:pPr>
      <w:r w:rsidRPr="001C6B35">
        <w:rPr>
          <w:rFonts w:ascii="TyponineSans Reg" w:hAnsi="TyponineSans Reg"/>
          <w:szCs w:val="22"/>
        </w:rPr>
        <w:t>Tekuće pomoći odnosno prijenos</w:t>
      </w:r>
      <w:r w:rsidR="002873F0">
        <w:rPr>
          <w:rFonts w:ascii="TyponineSans Reg" w:hAnsi="TyponineSans Reg"/>
          <w:szCs w:val="22"/>
        </w:rPr>
        <w:t>e</w:t>
      </w:r>
      <w:r w:rsidRPr="001C6B35">
        <w:rPr>
          <w:rFonts w:ascii="TyponineSans Reg" w:hAnsi="TyponineSans Reg"/>
          <w:szCs w:val="22"/>
        </w:rPr>
        <w:t xml:space="preserve"> između proračunskih korisnika iskazane u iznosu </w:t>
      </w:r>
      <w:r w:rsidR="00B34E7D" w:rsidRPr="001C6B35">
        <w:rPr>
          <w:rFonts w:ascii="TyponineSans Reg" w:hAnsi="TyponineSans Reg"/>
          <w:szCs w:val="22"/>
        </w:rPr>
        <w:t>45.360,54</w:t>
      </w:r>
      <w:r w:rsidRPr="001C6B35">
        <w:rPr>
          <w:rFonts w:ascii="TyponineSans Reg" w:hAnsi="TyponineSans Reg"/>
          <w:szCs w:val="22"/>
        </w:rPr>
        <w:t xml:space="preserve"> </w:t>
      </w:r>
      <w:r w:rsidR="00C87716" w:rsidRPr="001C6B35">
        <w:rPr>
          <w:rFonts w:ascii="TyponineSans Reg" w:hAnsi="TyponineSans Reg"/>
          <w:szCs w:val="22"/>
        </w:rPr>
        <w:t>EUR</w:t>
      </w:r>
      <w:r w:rsidR="00C8056B" w:rsidRPr="001C6B35">
        <w:rPr>
          <w:rFonts w:ascii="TyponineSans Reg" w:hAnsi="TyponineSans Reg"/>
          <w:szCs w:val="22"/>
        </w:rPr>
        <w:t>.</w:t>
      </w:r>
      <w:r w:rsidRPr="001C6B35">
        <w:rPr>
          <w:rFonts w:ascii="TyponineSans Reg" w:hAnsi="TyponineSans Reg"/>
          <w:szCs w:val="22"/>
        </w:rPr>
        <w:t xml:space="preserve"> </w:t>
      </w:r>
      <w:r w:rsidR="00C8056B" w:rsidRPr="001C6B35">
        <w:rPr>
          <w:rFonts w:ascii="TyponineSans Reg" w:hAnsi="TyponineSans Reg"/>
          <w:szCs w:val="22"/>
        </w:rPr>
        <w:t>Tekuće pomoći</w:t>
      </w:r>
      <w:r w:rsidRPr="001C6B35">
        <w:rPr>
          <w:rFonts w:ascii="TyponineSans Reg" w:hAnsi="TyponineSans Reg"/>
          <w:szCs w:val="22"/>
        </w:rPr>
        <w:t xml:space="preserve"> odnose se na tekuće prijenose između proračunskih korisnika istog proračuna i to </w:t>
      </w:r>
      <w:r w:rsidR="00C8056B" w:rsidRPr="001C6B35">
        <w:rPr>
          <w:rFonts w:ascii="TyponineSans Reg" w:hAnsi="TyponineSans Reg"/>
          <w:szCs w:val="22"/>
        </w:rPr>
        <w:t xml:space="preserve">prijenose </w:t>
      </w:r>
      <w:r w:rsidRPr="001C6B35">
        <w:rPr>
          <w:rFonts w:ascii="TyponineSans Reg" w:hAnsi="TyponineSans Reg"/>
          <w:szCs w:val="22"/>
        </w:rPr>
        <w:t xml:space="preserve">Agencije za plaćanje u poljoprivredi, ribarstvu i ruralnom razvoju u iznosu </w:t>
      </w:r>
      <w:r w:rsidR="00B34E7D" w:rsidRPr="001C6B35">
        <w:rPr>
          <w:rFonts w:ascii="TyponineSans Reg" w:hAnsi="TyponineSans Reg"/>
          <w:szCs w:val="22"/>
        </w:rPr>
        <w:t>1.322,53</w:t>
      </w:r>
      <w:r w:rsidRPr="001C6B35">
        <w:rPr>
          <w:rFonts w:ascii="TyponineSans Reg" w:hAnsi="TyponineSans Reg"/>
          <w:szCs w:val="22"/>
        </w:rPr>
        <w:t xml:space="preserve"> </w:t>
      </w:r>
      <w:r w:rsidR="00C87716" w:rsidRPr="001C6B35">
        <w:rPr>
          <w:rFonts w:ascii="TyponineSans Reg" w:hAnsi="TyponineSans Reg"/>
          <w:szCs w:val="22"/>
        </w:rPr>
        <w:t>EUR</w:t>
      </w:r>
      <w:r w:rsidR="00B34E7D" w:rsidRPr="001C6B35">
        <w:rPr>
          <w:rFonts w:ascii="TyponineSans Reg" w:hAnsi="TyponineSans Reg"/>
          <w:szCs w:val="22"/>
        </w:rPr>
        <w:t>,</w:t>
      </w:r>
      <w:r w:rsidRPr="001C6B35">
        <w:rPr>
          <w:rFonts w:ascii="TyponineSans Reg" w:hAnsi="TyponineSans Reg"/>
          <w:szCs w:val="22"/>
        </w:rPr>
        <w:t xml:space="preserve"> prijenos sredstava iz Zajedničkih sredstava Ministarstva gospodarstva za projekt </w:t>
      </w:r>
      <w:r w:rsidR="00B34E7D" w:rsidRPr="001C6B35">
        <w:rPr>
          <w:rFonts w:ascii="TyponineSans Reg" w:hAnsi="TyponineSans Reg"/>
          <w:szCs w:val="22"/>
        </w:rPr>
        <w:t>Divlji oprašivači</w:t>
      </w:r>
      <w:r w:rsidRPr="001C6B35">
        <w:rPr>
          <w:rFonts w:ascii="TyponineSans Reg" w:hAnsi="TyponineSans Reg"/>
          <w:szCs w:val="22"/>
        </w:rPr>
        <w:t xml:space="preserve"> u iznosu </w:t>
      </w:r>
      <w:r w:rsidR="00B34E7D" w:rsidRPr="001C6B35">
        <w:rPr>
          <w:rFonts w:ascii="TyponineSans Reg" w:hAnsi="TyponineSans Reg"/>
          <w:szCs w:val="22"/>
        </w:rPr>
        <w:t>42.449,41</w:t>
      </w:r>
      <w:r w:rsidRPr="001C6B35">
        <w:rPr>
          <w:rFonts w:ascii="TyponineSans Reg" w:hAnsi="TyponineSans Reg"/>
          <w:szCs w:val="22"/>
        </w:rPr>
        <w:t xml:space="preserve"> </w:t>
      </w:r>
      <w:r w:rsidR="00C87716" w:rsidRPr="001C6B35">
        <w:rPr>
          <w:rFonts w:ascii="TyponineSans Reg" w:hAnsi="TyponineSans Reg"/>
          <w:szCs w:val="22"/>
        </w:rPr>
        <w:t>EUR</w:t>
      </w:r>
      <w:r w:rsidR="00B34E7D" w:rsidRPr="001C6B35">
        <w:rPr>
          <w:rFonts w:ascii="TyponineSans Reg" w:hAnsi="TyponineSans Reg"/>
          <w:szCs w:val="22"/>
        </w:rPr>
        <w:t xml:space="preserve"> i prijenos sredstva za projekt Oporavilište za divlje životinje u iznosu 1.588,60 EUR</w:t>
      </w:r>
      <w:r w:rsidRPr="001C6B35">
        <w:rPr>
          <w:rFonts w:ascii="TyponineSans Reg" w:hAnsi="TyponineSans Reg"/>
          <w:szCs w:val="22"/>
        </w:rPr>
        <w:t xml:space="preserve">. </w:t>
      </w:r>
    </w:p>
    <w:p w14:paraId="4B441A01" w14:textId="5F7C89EA" w:rsidR="009760FC" w:rsidRPr="001C6B35" w:rsidRDefault="00697490" w:rsidP="00F0252D">
      <w:pPr>
        <w:ind w:left="720"/>
        <w:jc w:val="both"/>
        <w:rPr>
          <w:rFonts w:ascii="TyponineSans Reg" w:hAnsi="TyponineSans Reg"/>
          <w:szCs w:val="22"/>
        </w:rPr>
      </w:pPr>
      <w:r w:rsidRPr="001C6B35">
        <w:rPr>
          <w:rFonts w:ascii="TyponineSans Reg" w:hAnsi="TyponineSans Reg"/>
          <w:szCs w:val="22"/>
        </w:rPr>
        <w:t xml:space="preserve">Kapitalne pomoći odnosno prijenosi između proračunskih korisnika </w:t>
      </w:r>
      <w:r w:rsidR="00C8056B" w:rsidRPr="001C6B35">
        <w:rPr>
          <w:rFonts w:ascii="TyponineSans Reg" w:hAnsi="TyponineSans Reg"/>
          <w:szCs w:val="22"/>
        </w:rPr>
        <w:t>iznose</w:t>
      </w:r>
      <w:r w:rsidRPr="001C6B35">
        <w:rPr>
          <w:rFonts w:ascii="TyponineSans Reg" w:hAnsi="TyponineSans Reg"/>
          <w:szCs w:val="22"/>
        </w:rPr>
        <w:t xml:space="preserve"> </w:t>
      </w:r>
      <w:r w:rsidR="00B34E7D" w:rsidRPr="001C6B35">
        <w:rPr>
          <w:rFonts w:ascii="TyponineSans Reg" w:hAnsi="TyponineSans Reg"/>
          <w:szCs w:val="22"/>
        </w:rPr>
        <w:t>68.921,60</w:t>
      </w:r>
      <w:r w:rsidRPr="001C6B35">
        <w:rPr>
          <w:rFonts w:ascii="TyponineSans Reg" w:hAnsi="TyponineSans Reg"/>
          <w:szCs w:val="22"/>
        </w:rPr>
        <w:t xml:space="preserve"> </w:t>
      </w:r>
      <w:r w:rsidR="00C87716" w:rsidRPr="001C6B35">
        <w:rPr>
          <w:rFonts w:ascii="TyponineSans Reg" w:hAnsi="TyponineSans Reg"/>
          <w:szCs w:val="22"/>
        </w:rPr>
        <w:t>EUR</w:t>
      </w:r>
      <w:r w:rsidR="00F0252D" w:rsidRPr="001C6B35">
        <w:rPr>
          <w:rFonts w:ascii="TyponineSans Reg" w:hAnsi="TyponineSans Reg"/>
          <w:szCs w:val="22"/>
        </w:rPr>
        <w:t xml:space="preserve">. Navedeni </w:t>
      </w:r>
      <w:r w:rsidRPr="001C6B35">
        <w:rPr>
          <w:rFonts w:ascii="TyponineSans Reg" w:hAnsi="TyponineSans Reg"/>
          <w:szCs w:val="22"/>
        </w:rPr>
        <w:t>kapitan</w:t>
      </w:r>
      <w:r w:rsidR="00F0252D" w:rsidRPr="001C6B35">
        <w:rPr>
          <w:rFonts w:ascii="TyponineSans Reg" w:hAnsi="TyponineSans Reg"/>
          <w:szCs w:val="22"/>
        </w:rPr>
        <w:t>i</w:t>
      </w:r>
      <w:r w:rsidRPr="001C6B35">
        <w:rPr>
          <w:rFonts w:ascii="TyponineSans Reg" w:hAnsi="TyponineSans Reg"/>
          <w:szCs w:val="22"/>
        </w:rPr>
        <w:t xml:space="preserve"> prijenos</w:t>
      </w:r>
      <w:r w:rsidR="00F0252D" w:rsidRPr="001C6B35">
        <w:rPr>
          <w:rFonts w:ascii="TyponineSans Reg" w:hAnsi="TyponineSans Reg"/>
          <w:szCs w:val="22"/>
        </w:rPr>
        <w:t>i</w:t>
      </w:r>
      <w:r w:rsidRPr="001C6B35">
        <w:rPr>
          <w:rFonts w:ascii="TyponineSans Reg" w:hAnsi="TyponineSans Reg"/>
          <w:szCs w:val="22"/>
        </w:rPr>
        <w:t xml:space="preserve"> između proračunskih korisnika istog proračuna </w:t>
      </w:r>
      <w:r w:rsidR="00F0252D" w:rsidRPr="001C6B35">
        <w:rPr>
          <w:rFonts w:ascii="TyponineSans Reg" w:hAnsi="TyponineSans Reg"/>
          <w:szCs w:val="22"/>
        </w:rPr>
        <w:t xml:space="preserve">čine refundacije </w:t>
      </w:r>
      <w:r w:rsidRPr="001C6B35">
        <w:rPr>
          <w:rFonts w:ascii="TyponineSans Reg" w:hAnsi="TyponineSans Reg"/>
          <w:szCs w:val="22"/>
        </w:rPr>
        <w:t xml:space="preserve">Ministarstva kulture i medija za </w:t>
      </w:r>
      <w:r w:rsidR="00F0252D" w:rsidRPr="001C6B35">
        <w:rPr>
          <w:rFonts w:ascii="TyponineSans Reg" w:hAnsi="TyponineSans Reg"/>
          <w:szCs w:val="22"/>
        </w:rPr>
        <w:t xml:space="preserve">sanaciju </w:t>
      </w:r>
      <w:r w:rsidRPr="001C6B35">
        <w:rPr>
          <w:rFonts w:ascii="TyponineSans Reg" w:hAnsi="TyponineSans Reg"/>
          <w:szCs w:val="22"/>
        </w:rPr>
        <w:t>Torpedo baterij</w:t>
      </w:r>
      <w:r w:rsidR="00F0252D" w:rsidRPr="001C6B35">
        <w:rPr>
          <w:rFonts w:ascii="TyponineSans Reg" w:hAnsi="TyponineSans Reg"/>
          <w:szCs w:val="22"/>
        </w:rPr>
        <w:t>e</w:t>
      </w:r>
      <w:r w:rsidRPr="001C6B35">
        <w:rPr>
          <w:rFonts w:ascii="TyponineSans Reg" w:hAnsi="TyponineSans Reg"/>
          <w:szCs w:val="22"/>
        </w:rPr>
        <w:t xml:space="preserve"> na Malom Brijunu</w:t>
      </w:r>
      <w:r w:rsidR="00827E01" w:rsidRPr="001C6B35">
        <w:rPr>
          <w:rFonts w:ascii="TyponineSans Reg" w:hAnsi="TyponineSans Reg"/>
          <w:szCs w:val="22"/>
        </w:rPr>
        <w:t xml:space="preserve"> u iznosu 49.968 EUR, prijenos sredstava iz Zajedničkih sredstava Ministarstva gospodarstva za projekt Divlji oprašivači u iznosu 18</w:t>
      </w:r>
      <w:r w:rsidR="009760FC" w:rsidRPr="001C6B35">
        <w:rPr>
          <w:rFonts w:ascii="TyponineSans Reg" w:hAnsi="TyponineSans Reg"/>
          <w:szCs w:val="22"/>
        </w:rPr>
        <w:t>.</w:t>
      </w:r>
      <w:r w:rsidR="00827E01" w:rsidRPr="001C6B35">
        <w:rPr>
          <w:rFonts w:ascii="TyponineSans Reg" w:hAnsi="TyponineSans Reg"/>
          <w:szCs w:val="22"/>
        </w:rPr>
        <w:t>953,60 EUR</w:t>
      </w:r>
      <w:r w:rsidR="00F0252D" w:rsidRPr="001C6B35">
        <w:rPr>
          <w:rFonts w:ascii="TyponineSans Reg" w:hAnsi="TyponineSans Reg"/>
          <w:szCs w:val="22"/>
        </w:rPr>
        <w:t>.</w:t>
      </w:r>
    </w:p>
    <w:p w14:paraId="3685638A" w14:textId="772281EA" w:rsidR="00697490" w:rsidRPr="001C6B35" w:rsidRDefault="009760FC" w:rsidP="00F0252D">
      <w:pPr>
        <w:ind w:left="720"/>
        <w:jc w:val="both"/>
        <w:rPr>
          <w:rFonts w:ascii="TyponineSans Reg" w:hAnsi="TyponineSans Reg"/>
          <w:szCs w:val="22"/>
        </w:rPr>
      </w:pPr>
      <w:r w:rsidRPr="001C6B35">
        <w:rPr>
          <w:rFonts w:ascii="TyponineSans Reg" w:hAnsi="TyponineSans Reg"/>
          <w:szCs w:val="22"/>
        </w:rPr>
        <w:t>T</w:t>
      </w:r>
      <w:r w:rsidR="00697490" w:rsidRPr="001C6B35">
        <w:rPr>
          <w:rFonts w:ascii="TyponineSans Reg" w:hAnsi="TyponineSans Reg"/>
          <w:szCs w:val="22"/>
        </w:rPr>
        <w:t>ekuć</w:t>
      </w:r>
      <w:r w:rsidRPr="001C6B35">
        <w:rPr>
          <w:rFonts w:ascii="TyponineSans Reg" w:hAnsi="TyponineSans Reg"/>
          <w:szCs w:val="22"/>
        </w:rPr>
        <w:t>i</w:t>
      </w:r>
      <w:r w:rsidR="00697490" w:rsidRPr="001C6B35">
        <w:rPr>
          <w:rFonts w:ascii="TyponineSans Reg" w:hAnsi="TyponineSans Reg"/>
          <w:szCs w:val="22"/>
        </w:rPr>
        <w:t xml:space="preserve"> prijenos</w:t>
      </w:r>
      <w:r w:rsidRPr="001C6B35">
        <w:rPr>
          <w:rFonts w:ascii="TyponineSans Reg" w:hAnsi="TyponineSans Reg"/>
          <w:szCs w:val="22"/>
        </w:rPr>
        <w:t>i</w:t>
      </w:r>
      <w:r w:rsidR="00697490" w:rsidRPr="001C6B35">
        <w:rPr>
          <w:rFonts w:ascii="TyponineSans Reg" w:hAnsi="TyponineSans Reg"/>
          <w:szCs w:val="22"/>
        </w:rPr>
        <w:t xml:space="preserve"> između proračunskih korisnika istog proračuna temeljem prijenosa EU sredstava</w:t>
      </w:r>
      <w:r w:rsidRPr="001C6B35">
        <w:rPr>
          <w:rFonts w:ascii="TyponineSans Reg" w:hAnsi="TyponineSans Reg"/>
          <w:szCs w:val="22"/>
        </w:rPr>
        <w:t xml:space="preserve"> čine </w:t>
      </w:r>
      <w:r w:rsidR="00697490" w:rsidRPr="001C6B35">
        <w:rPr>
          <w:rFonts w:ascii="TyponineSans Reg" w:hAnsi="TyponineSans Reg"/>
          <w:szCs w:val="22"/>
        </w:rPr>
        <w:t>sredstva uplaćena od strane Agencije za plaćanja u poljoprivredi, ribarstvu i ruralnom razvoju</w:t>
      </w:r>
      <w:r w:rsidRPr="001C6B35">
        <w:rPr>
          <w:rFonts w:ascii="TyponineSans Reg" w:hAnsi="TyponineSans Reg"/>
          <w:szCs w:val="22"/>
        </w:rPr>
        <w:t xml:space="preserve"> u iznosu 24.218,76 EUR</w:t>
      </w:r>
      <w:r w:rsidR="00697490" w:rsidRPr="001C6B35">
        <w:rPr>
          <w:rFonts w:ascii="TyponineSans Reg" w:hAnsi="TyponineSans Reg"/>
          <w:szCs w:val="22"/>
        </w:rPr>
        <w:t xml:space="preserve">. </w:t>
      </w:r>
    </w:p>
    <w:p w14:paraId="6F797648" w14:textId="77777777" w:rsidR="00697490" w:rsidRPr="001C6B35" w:rsidRDefault="00697490" w:rsidP="00697490">
      <w:pPr>
        <w:jc w:val="both"/>
        <w:rPr>
          <w:rFonts w:ascii="TyponineSans Reg" w:hAnsi="TyponineSans Reg"/>
          <w:b/>
          <w:sz w:val="24"/>
          <w:szCs w:val="24"/>
        </w:rPr>
      </w:pPr>
    </w:p>
    <w:p w14:paraId="36487A2D" w14:textId="37E88D17" w:rsidR="00697490" w:rsidRPr="001C6B35" w:rsidRDefault="00697490" w:rsidP="00697490">
      <w:pPr>
        <w:jc w:val="both"/>
        <w:rPr>
          <w:rFonts w:ascii="TyponineSans Reg" w:hAnsi="TyponineSans Reg"/>
          <w:b/>
          <w:sz w:val="24"/>
          <w:szCs w:val="24"/>
        </w:rPr>
      </w:pPr>
      <w:r w:rsidRPr="001C6B35">
        <w:rPr>
          <w:rFonts w:ascii="TyponineSans Reg" w:hAnsi="TyponineSans Reg"/>
          <w:b/>
          <w:sz w:val="24"/>
          <w:szCs w:val="24"/>
        </w:rPr>
        <w:t>Šifra 64</w:t>
      </w:r>
    </w:p>
    <w:p w14:paraId="1583F069" w14:textId="77777777" w:rsidR="00697490" w:rsidRPr="001C6B35" w:rsidRDefault="00697490" w:rsidP="00697490">
      <w:pPr>
        <w:jc w:val="both"/>
        <w:rPr>
          <w:rFonts w:ascii="TyponineSans Reg" w:hAnsi="TyponineSans Reg"/>
          <w:b/>
          <w:sz w:val="24"/>
          <w:szCs w:val="24"/>
        </w:rPr>
      </w:pPr>
      <w:r w:rsidRPr="001C6B35">
        <w:rPr>
          <w:rFonts w:ascii="TyponineSans Reg" w:hAnsi="TyponineSans Reg"/>
          <w:b/>
          <w:sz w:val="24"/>
          <w:szCs w:val="24"/>
        </w:rPr>
        <w:t>Prihodi od imovine</w:t>
      </w:r>
    </w:p>
    <w:p w14:paraId="01AA9A61" w14:textId="77777777" w:rsidR="00697490" w:rsidRPr="001C6B35" w:rsidRDefault="00697490" w:rsidP="00697490">
      <w:pPr>
        <w:jc w:val="both"/>
        <w:rPr>
          <w:rFonts w:ascii="TyponineSans Reg" w:hAnsi="TyponineSans Reg"/>
          <w:b/>
          <w:szCs w:val="22"/>
        </w:rPr>
      </w:pPr>
    </w:p>
    <w:p w14:paraId="08F1317D" w14:textId="2644E242" w:rsidR="00697490" w:rsidRPr="001C6B35" w:rsidRDefault="00697490" w:rsidP="00697490">
      <w:pPr>
        <w:jc w:val="both"/>
        <w:rPr>
          <w:rFonts w:ascii="TyponineSans Reg" w:hAnsi="TyponineSans Reg"/>
          <w:szCs w:val="22"/>
        </w:rPr>
      </w:pPr>
      <w:r w:rsidRPr="001C6B35">
        <w:rPr>
          <w:rFonts w:ascii="TyponineSans Reg" w:hAnsi="TyponineSans Reg"/>
          <w:szCs w:val="22"/>
        </w:rPr>
        <w:t xml:space="preserve">Prihodi od imovine iskazani u iznosu  </w:t>
      </w:r>
      <w:r w:rsidR="00E0434E" w:rsidRPr="001C6B35">
        <w:rPr>
          <w:rFonts w:ascii="TyponineSans Reg" w:hAnsi="TyponineSans Reg"/>
          <w:szCs w:val="22"/>
        </w:rPr>
        <w:t>1.349,18</w:t>
      </w:r>
      <w:r w:rsidRPr="001C6B35">
        <w:rPr>
          <w:rFonts w:ascii="TyponineSans Reg" w:hAnsi="TyponineSans Reg"/>
          <w:szCs w:val="22"/>
        </w:rPr>
        <w:t xml:space="preserve"> </w:t>
      </w:r>
      <w:r w:rsidR="00C87716" w:rsidRPr="001C6B35">
        <w:rPr>
          <w:rFonts w:ascii="TyponineSans Reg" w:hAnsi="TyponineSans Reg"/>
          <w:szCs w:val="22"/>
        </w:rPr>
        <w:t>EUR</w:t>
      </w:r>
      <w:r w:rsidRPr="001C6B35">
        <w:rPr>
          <w:rFonts w:ascii="TyponineSans Reg" w:hAnsi="TyponineSans Reg"/>
          <w:szCs w:val="22"/>
        </w:rPr>
        <w:t xml:space="preserve"> odnose se na sljedeće stavke prihoda:</w:t>
      </w:r>
    </w:p>
    <w:p w14:paraId="28044F5F" w14:textId="0B0D3E7F" w:rsidR="00697490" w:rsidRPr="001C6B35" w:rsidRDefault="00697490" w:rsidP="00697490">
      <w:pPr>
        <w:numPr>
          <w:ilvl w:val="0"/>
          <w:numId w:val="9"/>
        </w:numPr>
        <w:jc w:val="both"/>
        <w:rPr>
          <w:rFonts w:ascii="TyponineSans Reg" w:hAnsi="TyponineSans Reg"/>
          <w:szCs w:val="22"/>
        </w:rPr>
      </w:pPr>
      <w:r w:rsidRPr="001C6B35">
        <w:rPr>
          <w:rFonts w:ascii="TyponineSans Reg" w:hAnsi="TyponineSans Reg"/>
          <w:szCs w:val="22"/>
        </w:rPr>
        <w:t xml:space="preserve">Kamate na oročena sredstva i depozite po viđenju u iznosu </w:t>
      </w:r>
      <w:r w:rsidR="00E0434E" w:rsidRPr="001C6B35">
        <w:rPr>
          <w:rFonts w:ascii="TyponineSans Reg" w:hAnsi="TyponineSans Reg"/>
          <w:szCs w:val="22"/>
        </w:rPr>
        <w:t>150,63</w:t>
      </w:r>
      <w:r w:rsidRPr="001C6B35">
        <w:rPr>
          <w:rFonts w:ascii="TyponineSans Reg" w:hAnsi="TyponineSans Reg"/>
          <w:szCs w:val="22"/>
        </w:rPr>
        <w:t xml:space="preserve"> </w:t>
      </w:r>
      <w:r w:rsidR="00C87716" w:rsidRPr="001C6B35">
        <w:rPr>
          <w:rFonts w:ascii="TyponineSans Reg" w:hAnsi="TyponineSans Reg"/>
          <w:szCs w:val="22"/>
        </w:rPr>
        <w:t>EUR</w:t>
      </w:r>
    </w:p>
    <w:p w14:paraId="4865BA81" w14:textId="640B9983" w:rsidR="00697490" w:rsidRPr="001C6B35" w:rsidRDefault="00697490" w:rsidP="00697490">
      <w:pPr>
        <w:numPr>
          <w:ilvl w:val="0"/>
          <w:numId w:val="9"/>
        </w:numPr>
        <w:jc w:val="both"/>
        <w:rPr>
          <w:rFonts w:ascii="TyponineSans Reg" w:hAnsi="TyponineSans Reg"/>
          <w:szCs w:val="22"/>
        </w:rPr>
      </w:pPr>
      <w:r w:rsidRPr="001C6B35">
        <w:rPr>
          <w:rFonts w:ascii="TyponineSans Reg" w:hAnsi="TyponineSans Reg"/>
          <w:szCs w:val="22"/>
        </w:rPr>
        <w:t xml:space="preserve">Prihode od </w:t>
      </w:r>
      <w:r w:rsidR="00E0434E" w:rsidRPr="001C6B35">
        <w:rPr>
          <w:rFonts w:ascii="TyponineSans Reg" w:hAnsi="TyponineSans Reg"/>
          <w:szCs w:val="22"/>
        </w:rPr>
        <w:t>zateznih kamata</w:t>
      </w:r>
      <w:r w:rsidRPr="001C6B35">
        <w:rPr>
          <w:rFonts w:ascii="TyponineSans Reg" w:hAnsi="TyponineSans Reg"/>
          <w:szCs w:val="22"/>
        </w:rPr>
        <w:t xml:space="preserve"> u iznosu  6</w:t>
      </w:r>
      <w:r w:rsidR="00E0434E" w:rsidRPr="001C6B35">
        <w:rPr>
          <w:rFonts w:ascii="TyponineSans Reg" w:hAnsi="TyponineSans Reg"/>
          <w:szCs w:val="22"/>
        </w:rPr>
        <w:t>08,08</w:t>
      </w:r>
      <w:r w:rsidRPr="001C6B35">
        <w:rPr>
          <w:rFonts w:ascii="TyponineSans Reg" w:hAnsi="TyponineSans Reg"/>
          <w:szCs w:val="22"/>
        </w:rPr>
        <w:t xml:space="preserve"> </w:t>
      </w:r>
      <w:r w:rsidR="00C87716" w:rsidRPr="001C6B35">
        <w:rPr>
          <w:rFonts w:ascii="TyponineSans Reg" w:hAnsi="TyponineSans Reg"/>
          <w:szCs w:val="22"/>
        </w:rPr>
        <w:t>EUR</w:t>
      </w:r>
    </w:p>
    <w:p w14:paraId="210E35B9" w14:textId="6E21171B" w:rsidR="009D3BE4" w:rsidRPr="001C6B35" w:rsidRDefault="009D3BE4" w:rsidP="00697490">
      <w:pPr>
        <w:numPr>
          <w:ilvl w:val="0"/>
          <w:numId w:val="9"/>
        </w:numPr>
        <w:jc w:val="both"/>
        <w:rPr>
          <w:rFonts w:ascii="TyponineSans Reg" w:hAnsi="TyponineSans Reg"/>
          <w:szCs w:val="22"/>
        </w:rPr>
      </w:pPr>
      <w:r w:rsidRPr="001C6B35">
        <w:rPr>
          <w:rFonts w:ascii="TyponineSans Reg" w:hAnsi="TyponineSans Reg"/>
          <w:szCs w:val="22"/>
        </w:rPr>
        <w:t xml:space="preserve">Prihodi od pozitivnih tečajnih razlika i razlika zbog </w:t>
      </w:r>
      <w:r w:rsidR="004516D2">
        <w:rPr>
          <w:rFonts w:ascii="TyponineSans Reg" w:hAnsi="TyponineSans Reg"/>
          <w:szCs w:val="22"/>
        </w:rPr>
        <w:t xml:space="preserve"> </w:t>
      </w:r>
      <w:r w:rsidRPr="001C6B35">
        <w:rPr>
          <w:rFonts w:ascii="TyponineSans Reg" w:hAnsi="TyponineSans Reg"/>
          <w:szCs w:val="22"/>
        </w:rPr>
        <w:t xml:space="preserve">primjene </w:t>
      </w:r>
      <w:r w:rsidR="004516D2">
        <w:rPr>
          <w:rFonts w:ascii="TyponineSans Reg" w:hAnsi="TyponineSans Reg"/>
          <w:szCs w:val="22"/>
        </w:rPr>
        <w:t xml:space="preserve"> </w:t>
      </w:r>
      <w:r w:rsidRPr="001C6B35">
        <w:rPr>
          <w:rFonts w:ascii="TyponineSans Reg" w:hAnsi="TyponineSans Reg"/>
          <w:szCs w:val="22"/>
        </w:rPr>
        <w:t>valutne klauzule</w:t>
      </w:r>
      <w:r w:rsidR="004516D2">
        <w:rPr>
          <w:rFonts w:ascii="TyponineSans Reg" w:hAnsi="TyponineSans Reg"/>
          <w:szCs w:val="22"/>
        </w:rPr>
        <w:t xml:space="preserve"> </w:t>
      </w:r>
      <w:r w:rsidRPr="001C6B35">
        <w:rPr>
          <w:rFonts w:ascii="TyponineSans Reg" w:hAnsi="TyponineSans Reg"/>
          <w:szCs w:val="22"/>
        </w:rPr>
        <w:t xml:space="preserve"> u</w:t>
      </w:r>
      <w:r w:rsidR="004516D2">
        <w:rPr>
          <w:rFonts w:ascii="TyponineSans Reg" w:hAnsi="TyponineSans Reg"/>
          <w:szCs w:val="22"/>
        </w:rPr>
        <w:t xml:space="preserve"> </w:t>
      </w:r>
      <w:r w:rsidRPr="001C6B35">
        <w:rPr>
          <w:rFonts w:ascii="TyponineSans Reg" w:hAnsi="TyponineSans Reg"/>
          <w:szCs w:val="22"/>
        </w:rPr>
        <w:t xml:space="preserve"> iznosu 590,47 EUR</w:t>
      </w:r>
    </w:p>
    <w:p w14:paraId="01B0D101" w14:textId="77777777" w:rsidR="00697490" w:rsidRPr="001C6B35" w:rsidRDefault="00697490" w:rsidP="00697490">
      <w:pPr>
        <w:ind w:left="720"/>
        <w:jc w:val="both"/>
        <w:rPr>
          <w:rFonts w:ascii="TyponineSans Reg" w:hAnsi="TyponineSans Reg"/>
          <w:szCs w:val="22"/>
        </w:rPr>
      </w:pPr>
    </w:p>
    <w:p w14:paraId="774EBEF8" w14:textId="353E3466" w:rsidR="00697490" w:rsidRPr="001C6B35" w:rsidRDefault="00697490" w:rsidP="00697490">
      <w:pPr>
        <w:jc w:val="both"/>
        <w:rPr>
          <w:rFonts w:ascii="TyponineSans Reg" w:hAnsi="TyponineSans Reg"/>
          <w:szCs w:val="22"/>
        </w:rPr>
      </w:pPr>
      <w:r w:rsidRPr="001C6B35">
        <w:rPr>
          <w:rFonts w:ascii="TyponineSans Reg" w:hAnsi="TyponineSans Reg"/>
          <w:szCs w:val="22"/>
        </w:rPr>
        <w:t xml:space="preserve">Iskazani prihodi od imovine </w:t>
      </w:r>
      <w:r w:rsidR="008727E7" w:rsidRPr="001C6B35">
        <w:rPr>
          <w:rFonts w:ascii="TyponineSans Reg" w:hAnsi="TyponineSans Reg"/>
          <w:szCs w:val="22"/>
        </w:rPr>
        <w:t>bilježe porast od 114,97</w:t>
      </w:r>
      <w:r w:rsidRPr="001C6B35">
        <w:rPr>
          <w:rFonts w:ascii="TyponineSans Reg" w:hAnsi="TyponineSans Reg"/>
          <w:szCs w:val="22"/>
        </w:rPr>
        <w:t xml:space="preserve">% </w:t>
      </w:r>
      <w:r w:rsidR="008727E7" w:rsidRPr="001C6B35">
        <w:rPr>
          <w:rFonts w:ascii="TyponineSans Reg" w:hAnsi="TyponineSans Reg"/>
          <w:szCs w:val="22"/>
        </w:rPr>
        <w:t>u odnosu na os</w:t>
      </w:r>
      <w:r w:rsidRPr="001C6B35">
        <w:rPr>
          <w:rFonts w:ascii="TyponineSans Reg" w:hAnsi="TyponineSans Reg"/>
          <w:szCs w:val="22"/>
        </w:rPr>
        <w:t>tvaren</w:t>
      </w:r>
      <w:r w:rsidR="008727E7" w:rsidRPr="001C6B35">
        <w:rPr>
          <w:rFonts w:ascii="TyponineSans Reg" w:hAnsi="TyponineSans Reg"/>
          <w:szCs w:val="22"/>
        </w:rPr>
        <w:t>o</w:t>
      </w:r>
      <w:r w:rsidRPr="001C6B35">
        <w:rPr>
          <w:rFonts w:ascii="TyponineSans Reg" w:hAnsi="TyponineSans Reg"/>
          <w:szCs w:val="22"/>
        </w:rPr>
        <w:t xml:space="preserve"> u 202</w:t>
      </w:r>
      <w:r w:rsidR="008727E7" w:rsidRPr="001C6B35">
        <w:rPr>
          <w:rFonts w:ascii="TyponineSans Reg" w:hAnsi="TyponineSans Reg"/>
          <w:szCs w:val="22"/>
        </w:rPr>
        <w:t>3</w:t>
      </w:r>
      <w:r w:rsidRPr="001C6B35">
        <w:rPr>
          <w:rFonts w:ascii="TyponineSans Reg" w:hAnsi="TyponineSans Reg"/>
          <w:szCs w:val="22"/>
        </w:rPr>
        <w:t xml:space="preserve">. godini. </w:t>
      </w:r>
    </w:p>
    <w:p w14:paraId="2301255C" w14:textId="77777777" w:rsidR="00697490" w:rsidRPr="001C6B35" w:rsidRDefault="00697490" w:rsidP="00697490">
      <w:pPr>
        <w:jc w:val="both"/>
        <w:rPr>
          <w:rFonts w:ascii="TyponineSans Reg" w:hAnsi="TyponineSans Reg"/>
          <w:szCs w:val="22"/>
        </w:rPr>
      </w:pPr>
    </w:p>
    <w:p w14:paraId="7E030F2A" w14:textId="77777777" w:rsidR="00697490" w:rsidRPr="001C6B35" w:rsidRDefault="00697490" w:rsidP="00697490">
      <w:pPr>
        <w:jc w:val="both"/>
        <w:rPr>
          <w:rFonts w:ascii="TyponineSans Reg" w:hAnsi="TyponineSans Reg"/>
          <w:b/>
          <w:sz w:val="24"/>
          <w:szCs w:val="24"/>
        </w:rPr>
      </w:pPr>
      <w:r w:rsidRPr="001C6B35">
        <w:rPr>
          <w:rFonts w:ascii="TyponineSans Reg" w:hAnsi="TyponineSans Reg"/>
          <w:b/>
          <w:sz w:val="24"/>
          <w:szCs w:val="24"/>
        </w:rPr>
        <w:t>Šifra 65</w:t>
      </w:r>
    </w:p>
    <w:p w14:paraId="5669A8CE" w14:textId="77777777" w:rsidR="00697490" w:rsidRPr="001C6B35" w:rsidRDefault="00697490" w:rsidP="00697490">
      <w:pPr>
        <w:jc w:val="both"/>
        <w:rPr>
          <w:rFonts w:ascii="TyponineSans Reg" w:hAnsi="TyponineSans Reg"/>
          <w:b/>
          <w:sz w:val="24"/>
          <w:szCs w:val="24"/>
        </w:rPr>
      </w:pPr>
      <w:r w:rsidRPr="001C6B35">
        <w:rPr>
          <w:rFonts w:ascii="TyponineSans Reg" w:hAnsi="TyponineSans Reg"/>
          <w:b/>
          <w:sz w:val="24"/>
          <w:szCs w:val="24"/>
        </w:rPr>
        <w:t>Prihodi po posebnim propisima</w:t>
      </w:r>
    </w:p>
    <w:p w14:paraId="2E7DCC11" w14:textId="77777777" w:rsidR="00697490" w:rsidRPr="001C6B35" w:rsidRDefault="00697490" w:rsidP="00697490">
      <w:pPr>
        <w:jc w:val="both"/>
        <w:rPr>
          <w:rFonts w:ascii="TyponineSans Reg" w:hAnsi="TyponineSans Reg"/>
          <w:b/>
          <w:szCs w:val="22"/>
        </w:rPr>
      </w:pPr>
    </w:p>
    <w:p w14:paraId="2B0A6ADD" w14:textId="015F5EDE" w:rsidR="00697490" w:rsidRPr="001C6B35" w:rsidRDefault="00697490" w:rsidP="00697490">
      <w:pPr>
        <w:jc w:val="both"/>
        <w:rPr>
          <w:rFonts w:ascii="TyponineSans Reg" w:hAnsi="TyponineSans Reg"/>
          <w:szCs w:val="22"/>
        </w:rPr>
      </w:pPr>
      <w:r w:rsidRPr="001C6B35">
        <w:rPr>
          <w:rFonts w:ascii="TyponineSans Reg" w:hAnsi="TyponineSans Reg"/>
          <w:szCs w:val="22"/>
        </w:rPr>
        <w:t xml:space="preserve">Prihodi po posebnim propisima ostvareni u </w:t>
      </w:r>
      <w:r w:rsidR="00990142" w:rsidRPr="001C6B35">
        <w:rPr>
          <w:rFonts w:ascii="TyponineSans Reg" w:hAnsi="TyponineSans Reg"/>
          <w:szCs w:val="22"/>
        </w:rPr>
        <w:t>i</w:t>
      </w:r>
      <w:r w:rsidRPr="001C6B35">
        <w:rPr>
          <w:rFonts w:ascii="TyponineSans Reg" w:hAnsi="TyponineSans Reg"/>
          <w:szCs w:val="22"/>
        </w:rPr>
        <w:t>znosu 4.1</w:t>
      </w:r>
      <w:r w:rsidR="007B4B07" w:rsidRPr="001C6B35">
        <w:rPr>
          <w:rFonts w:ascii="TyponineSans Reg" w:hAnsi="TyponineSans Reg"/>
          <w:szCs w:val="22"/>
        </w:rPr>
        <w:t>83</w:t>
      </w:r>
      <w:r w:rsidRPr="001C6B35">
        <w:rPr>
          <w:rFonts w:ascii="TyponineSans Reg" w:hAnsi="TyponineSans Reg"/>
          <w:szCs w:val="22"/>
        </w:rPr>
        <w:t>.</w:t>
      </w:r>
      <w:r w:rsidR="007B4B07" w:rsidRPr="001C6B35">
        <w:rPr>
          <w:rFonts w:ascii="TyponineSans Reg" w:hAnsi="TyponineSans Reg"/>
          <w:szCs w:val="22"/>
        </w:rPr>
        <w:t>618,99</w:t>
      </w:r>
      <w:r w:rsidRPr="001C6B35">
        <w:rPr>
          <w:rFonts w:ascii="TyponineSans Reg" w:hAnsi="TyponineSans Reg"/>
          <w:szCs w:val="22"/>
        </w:rPr>
        <w:t xml:space="preserve"> </w:t>
      </w:r>
      <w:r w:rsidR="00C87716" w:rsidRPr="001C6B35">
        <w:rPr>
          <w:rFonts w:ascii="TyponineSans Reg" w:hAnsi="TyponineSans Reg"/>
          <w:szCs w:val="22"/>
        </w:rPr>
        <w:t>EUR</w:t>
      </w:r>
      <w:r w:rsidRPr="001C6B35">
        <w:rPr>
          <w:rFonts w:ascii="TyponineSans Reg" w:hAnsi="TyponineSans Reg"/>
          <w:szCs w:val="22"/>
        </w:rPr>
        <w:t xml:space="preserve"> odnose se na sljedeće stavke:</w:t>
      </w:r>
    </w:p>
    <w:p w14:paraId="49B26D16" w14:textId="31052E45" w:rsidR="00697490" w:rsidRPr="001C6B35" w:rsidRDefault="00697490" w:rsidP="00697490">
      <w:pPr>
        <w:numPr>
          <w:ilvl w:val="0"/>
          <w:numId w:val="18"/>
        </w:numPr>
        <w:jc w:val="both"/>
        <w:rPr>
          <w:rFonts w:ascii="TyponineSans Reg" w:hAnsi="TyponineSans Reg"/>
          <w:szCs w:val="22"/>
        </w:rPr>
      </w:pPr>
      <w:r w:rsidRPr="001C6B35">
        <w:rPr>
          <w:rFonts w:ascii="TyponineSans Reg" w:hAnsi="TyponineSans Reg"/>
          <w:szCs w:val="22"/>
        </w:rPr>
        <w:t xml:space="preserve">refundacije od osiguravajućeg društva u iznosu  </w:t>
      </w:r>
      <w:r w:rsidR="007B4B07" w:rsidRPr="001C6B35">
        <w:rPr>
          <w:rFonts w:ascii="TyponineSans Reg" w:hAnsi="TyponineSans Reg"/>
          <w:szCs w:val="22"/>
        </w:rPr>
        <w:t>10.670,30</w:t>
      </w:r>
      <w:r w:rsidRPr="001C6B35">
        <w:rPr>
          <w:rFonts w:ascii="TyponineSans Reg" w:hAnsi="TyponineSans Reg"/>
          <w:szCs w:val="22"/>
        </w:rPr>
        <w:t xml:space="preserve"> </w:t>
      </w:r>
      <w:r w:rsidR="00C87716" w:rsidRPr="001C6B35">
        <w:rPr>
          <w:rFonts w:ascii="TyponineSans Reg" w:hAnsi="TyponineSans Reg"/>
          <w:szCs w:val="22"/>
        </w:rPr>
        <w:t>EUR</w:t>
      </w:r>
    </w:p>
    <w:p w14:paraId="5D0FC5CC" w14:textId="3EA37778" w:rsidR="00697490" w:rsidRPr="001C6B35" w:rsidRDefault="00697490" w:rsidP="00697490">
      <w:pPr>
        <w:numPr>
          <w:ilvl w:val="0"/>
          <w:numId w:val="18"/>
        </w:numPr>
        <w:jc w:val="both"/>
        <w:rPr>
          <w:rFonts w:ascii="TyponineSans Reg" w:hAnsi="TyponineSans Reg"/>
          <w:szCs w:val="22"/>
        </w:rPr>
      </w:pPr>
      <w:r w:rsidRPr="001C6B35">
        <w:rPr>
          <w:rFonts w:ascii="TyponineSans Reg" w:hAnsi="TyponineSans Reg"/>
          <w:szCs w:val="22"/>
        </w:rPr>
        <w:t>refundacije za lučku pristojbu u iznosu  35.</w:t>
      </w:r>
      <w:r w:rsidR="007B4B07" w:rsidRPr="001C6B35">
        <w:rPr>
          <w:rFonts w:ascii="TyponineSans Reg" w:hAnsi="TyponineSans Reg"/>
          <w:szCs w:val="22"/>
        </w:rPr>
        <w:t>180,98</w:t>
      </w:r>
      <w:r w:rsidRPr="001C6B35">
        <w:rPr>
          <w:rFonts w:ascii="TyponineSans Reg" w:hAnsi="TyponineSans Reg"/>
          <w:szCs w:val="22"/>
        </w:rPr>
        <w:t xml:space="preserve"> </w:t>
      </w:r>
      <w:r w:rsidR="00C87716" w:rsidRPr="001C6B35">
        <w:rPr>
          <w:rFonts w:ascii="TyponineSans Reg" w:hAnsi="TyponineSans Reg"/>
          <w:szCs w:val="22"/>
        </w:rPr>
        <w:t>EUR</w:t>
      </w:r>
    </w:p>
    <w:p w14:paraId="1F42E8F5" w14:textId="7ECCBE30" w:rsidR="007243F4" w:rsidRPr="001C6B35" w:rsidRDefault="00697490" w:rsidP="007243F4">
      <w:pPr>
        <w:numPr>
          <w:ilvl w:val="0"/>
          <w:numId w:val="18"/>
        </w:numPr>
        <w:jc w:val="both"/>
        <w:rPr>
          <w:rFonts w:ascii="TyponineSans Reg" w:hAnsi="TyponineSans Reg"/>
          <w:b/>
          <w:sz w:val="24"/>
          <w:szCs w:val="24"/>
        </w:rPr>
      </w:pPr>
      <w:r w:rsidRPr="001C6B35">
        <w:rPr>
          <w:rFonts w:ascii="TyponineSans Reg" w:hAnsi="TyponineSans Reg"/>
          <w:szCs w:val="22"/>
        </w:rPr>
        <w:t xml:space="preserve">prihode od obavljanja izletničke djelatnosti u iznosu  </w:t>
      </w:r>
      <w:r w:rsidR="007B4B07" w:rsidRPr="001C6B35">
        <w:rPr>
          <w:rFonts w:ascii="TyponineSans Reg" w:hAnsi="TyponineSans Reg"/>
          <w:szCs w:val="22"/>
        </w:rPr>
        <w:t>4.137.767,71</w:t>
      </w:r>
      <w:r w:rsidRPr="001C6B35">
        <w:rPr>
          <w:rFonts w:ascii="TyponineSans Reg" w:hAnsi="TyponineSans Reg"/>
          <w:szCs w:val="22"/>
        </w:rPr>
        <w:t xml:space="preserve"> </w:t>
      </w:r>
      <w:r w:rsidR="00C87716" w:rsidRPr="001C6B35">
        <w:rPr>
          <w:rFonts w:ascii="TyponineSans Reg" w:hAnsi="TyponineSans Reg"/>
          <w:szCs w:val="22"/>
        </w:rPr>
        <w:t>EUR</w:t>
      </w:r>
      <w:r w:rsidR="005A24F7" w:rsidRPr="001C6B35">
        <w:rPr>
          <w:rFonts w:ascii="TyponineSans Reg" w:hAnsi="TyponineSans Reg"/>
          <w:szCs w:val="22"/>
        </w:rPr>
        <w:t>. Ustanova bilježi blagi porast prihoda od izleta od</w:t>
      </w:r>
      <w:r w:rsidRPr="001C6B35">
        <w:rPr>
          <w:rFonts w:ascii="TyponineSans Reg" w:hAnsi="TyponineSans Reg"/>
          <w:szCs w:val="22"/>
        </w:rPr>
        <w:t xml:space="preserve"> 0,8</w:t>
      </w:r>
      <w:r w:rsidR="007243F4" w:rsidRPr="001C6B35">
        <w:rPr>
          <w:rFonts w:ascii="TyponineSans Reg" w:hAnsi="TyponineSans Reg"/>
          <w:szCs w:val="22"/>
        </w:rPr>
        <w:t>8</w:t>
      </w:r>
      <w:r w:rsidRPr="001C6B35">
        <w:rPr>
          <w:rFonts w:ascii="TyponineSans Reg" w:hAnsi="TyponineSans Reg"/>
          <w:szCs w:val="22"/>
        </w:rPr>
        <w:t>% u odnosu na ostvarenje u 202</w:t>
      </w:r>
      <w:r w:rsidR="005A24F7" w:rsidRPr="001C6B35">
        <w:rPr>
          <w:rFonts w:ascii="TyponineSans Reg" w:hAnsi="TyponineSans Reg"/>
          <w:szCs w:val="22"/>
        </w:rPr>
        <w:t>3</w:t>
      </w:r>
      <w:r w:rsidRPr="001C6B35">
        <w:rPr>
          <w:rFonts w:ascii="TyponineSans Reg" w:hAnsi="TyponineSans Reg"/>
          <w:szCs w:val="22"/>
        </w:rPr>
        <w:t>. godini</w:t>
      </w:r>
      <w:r w:rsidR="005A24F7" w:rsidRPr="001C6B35">
        <w:rPr>
          <w:rFonts w:ascii="TyponineSans Reg" w:hAnsi="TyponineSans Reg"/>
          <w:szCs w:val="22"/>
        </w:rPr>
        <w:t>.</w:t>
      </w:r>
      <w:r w:rsidRPr="001C6B35">
        <w:rPr>
          <w:rFonts w:ascii="TyponineSans Reg" w:hAnsi="TyponineSans Reg"/>
          <w:szCs w:val="22"/>
        </w:rPr>
        <w:t xml:space="preserve"> </w:t>
      </w:r>
      <w:r w:rsidR="005A24F7" w:rsidRPr="001C6B35">
        <w:rPr>
          <w:rFonts w:ascii="TyponineSans Reg" w:hAnsi="TyponineSans Reg"/>
          <w:szCs w:val="22"/>
        </w:rPr>
        <w:t>Tijekom 2024. godine p</w:t>
      </w:r>
      <w:r w:rsidRPr="001C6B35">
        <w:rPr>
          <w:rFonts w:ascii="TyponineSans Reg" w:hAnsi="TyponineSans Reg"/>
          <w:szCs w:val="22"/>
        </w:rPr>
        <w:t xml:space="preserve">ovećan </w:t>
      </w:r>
      <w:r w:rsidR="00AF0234" w:rsidRPr="001C6B35">
        <w:rPr>
          <w:rFonts w:ascii="TyponineSans Reg" w:hAnsi="TyponineSans Reg"/>
          <w:szCs w:val="22"/>
        </w:rPr>
        <w:t xml:space="preserve">je </w:t>
      </w:r>
      <w:r w:rsidRPr="001C6B35">
        <w:rPr>
          <w:rFonts w:ascii="TyponineSans Reg" w:hAnsi="TyponineSans Reg"/>
          <w:szCs w:val="22"/>
        </w:rPr>
        <w:t xml:space="preserve">broj posjetitelja </w:t>
      </w:r>
      <w:r w:rsidR="00DB68A2" w:rsidRPr="001C6B35">
        <w:rPr>
          <w:rFonts w:ascii="TyponineSans Reg" w:hAnsi="TyponineSans Reg"/>
          <w:szCs w:val="22"/>
        </w:rPr>
        <w:t xml:space="preserve">za 1,59% i </w:t>
      </w:r>
      <w:r w:rsidRPr="001C6B35">
        <w:rPr>
          <w:rFonts w:ascii="TyponineSans Reg" w:hAnsi="TyponineSans Reg"/>
          <w:szCs w:val="22"/>
        </w:rPr>
        <w:t>prosječn</w:t>
      </w:r>
      <w:r w:rsidR="00DB68A2" w:rsidRPr="001C6B35">
        <w:rPr>
          <w:rFonts w:ascii="TyponineSans Reg" w:hAnsi="TyponineSans Reg"/>
          <w:szCs w:val="22"/>
        </w:rPr>
        <w:t>a</w:t>
      </w:r>
      <w:r w:rsidRPr="001C6B35">
        <w:rPr>
          <w:rFonts w:ascii="TyponineSans Reg" w:hAnsi="TyponineSans Reg"/>
          <w:szCs w:val="22"/>
        </w:rPr>
        <w:t xml:space="preserve"> cijena izleta </w:t>
      </w:r>
      <w:r w:rsidR="00DB68A2" w:rsidRPr="001C6B35">
        <w:rPr>
          <w:rFonts w:ascii="TyponineSans Reg" w:hAnsi="TyponineSans Reg"/>
          <w:szCs w:val="22"/>
        </w:rPr>
        <w:t xml:space="preserve">za 3,17% </w:t>
      </w:r>
      <w:r w:rsidRPr="001C6B35">
        <w:rPr>
          <w:rFonts w:ascii="TyponineSans Reg" w:hAnsi="TyponineSans Reg"/>
          <w:szCs w:val="22"/>
        </w:rPr>
        <w:t xml:space="preserve">u odnosu na prethodnu  godinu. </w:t>
      </w:r>
    </w:p>
    <w:p w14:paraId="5BDDFC00" w14:textId="77777777" w:rsidR="007243F4" w:rsidRPr="001C6B35" w:rsidRDefault="007243F4" w:rsidP="007243F4">
      <w:pPr>
        <w:numPr>
          <w:ilvl w:val="0"/>
          <w:numId w:val="18"/>
        </w:numPr>
        <w:jc w:val="both"/>
        <w:rPr>
          <w:rFonts w:ascii="TyponineSans Reg" w:hAnsi="TyponineSans Reg"/>
          <w:b/>
          <w:sz w:val="24"/>
          <w:szCs w:val="24"/>
        </w:rPr>
      </w:pPr>
    </w:p>
    <w:p w14:paraId="20941AF2" w14:textId="1A508D21" w:rsidR="00697490" w:rsidRPr="001C6B35" w:rsidRDefault="00697490" w:rsidP="007243F4">
      <w:pPr>
        <w:jc w:val="both"/>
        <w:rPr>
          <w:rFonts w:ascii="TyponineSans Reg" w:hAnsi="TyponineSans Reg"/>
          <w:b/>
          <w:sz w:val="24"/>
          <w:szCs w:val="24"/>
        </w:rPr>
      </w:pPr>
      <w:r w:rsidRPr="001C6B35">
        <w:rPr>
          <w:rFonts w:ascii="TyponineSans Reg" w:hAnsi="TyponineSans Reg"/>
          <w:b/>
          <w:sz w:val="24"/>
          <w:szCs w:val="24"/>
        </w:rPr>
        <w:t>Šifra 66</w:t>
      </w:r>
    </w:p>
    <w:p w14:paraId="6CDA809D" w14:textId="77777777" w:rsidR="00697490" w:rsidRPr="001C6B35" w:rsidRDefault="00697490" w:rsidP="00697490">
      <w:pPr>
        <w:jc w:val="both"/>
        <w:rPr>
          <w:rFonts w:ascii="TyponineSans Reg" w:hAnsi="TyponineSans Reg"/>
          <w:b/>
          <w:sz w:val="24"/>
          <w:szCs w:val="24"/>
        </w:rPr>
      </w:pPr>
      <w:r w:rsidRPr="001C6B35">
        <w:rPr>
          <w:rFonts w:ascii="TyponineSans Reg" w:hAnsi="TyponineSans Reg"/>
          <w:b/>
          <w:sz w:val="24"/>
          <w:szCs w:val="24"/>
        </w:rPr>
        <w:t>Prihodi od prodaje proizvoda i robe te pruženih usluga i prihodi od donacija</w:t>
      </w:r>
    </w:p>
    <w:p w14:paraId="15850AE9" w14:textId="77777777" w:rsidR="00697490" w:rsidRPr="001C6B35" w:rsidRDefault="00697490" w:rsidP="00697490">
      <w:pPr>
        <w:jc w:val="both"/>
        <w:rPr>
          <w:rFonts w:ascii="TyponineSans Reg" w:hAnsi="TyponineSans Reg"/>
          <w:b/>
          <w:sz w:val="24"/>
          <w:szCs w:val="24"/>
        </w:rPr>
      </w:pPr>
    </w:p>
    <w:p w14:paraId="2C005A7F" w14:textId="709E6F87" w:rsidR="00697490" w:rsidRPr="001C6B35" w:rsidRDefault="00697490" w:rsidP="00697490">
      <w:pPr>
        <w:jc w:val="both"/>
        <w:rPr>
          <w:rFonts w:ascii="TyponineSans Reg" w:hAnsi="TyponineSans Reg"/>
          <w:szCs w:val="22"/>
        </w:rPr>
      </w:pPr>
      <w:r w:rsidRPr="001C6B35">
        <w:rPr>
          <w:rFonts w:ascii="TyponineSans Reg" w:hAnsi="TyponineSans Reg"/>
          <w:szCs w:val="22"/>
        </w:rPr>
        <w:t>Prihodi od prodaje proizvoda i roba te pruženih usluga i prihodi od donacija ostvareni su u ukupnom iznosu od 6.</w:t>
      </w:r>
      <w:r w:rsidR="00C33692" w:rsidRPr="001C6B35">
        <w:rPr>
          <w:rFonts w:ascii="TyponineSans Reg" w:hAnsi="TyponineSans Reg"/>
          <w:szCs w:val="22"/>
        </w:rPr>
        <w:t>879.034,03</w:t>
      </w:r>
      <w:r w:rsidRPr="001C6B35">
        <w:rPr>
          <w:rFonts w:ascii="TyponineSans Reg" w:hAnsi="TyponineSans Reg"/>
          <w:szCs w:val="22"/>
        </w:rPr>
        <w:t xml:space="preserve"> </w:t>
      </w:r>
      <w:r w:rsidR="00C87716" w:rsidRPr="001C6B35">
        <w:rPr>
          <w:rFonts w:ascii="TyponineSans Reg" w:hAnsi="TyponineSans Reg"/>
          <w:szCs w:val="22"/>
        </w:rPr>
        <w:t>EUR</w:t>
      </w:r>
      <w:r w:rsidRPr="001C6B35">
        <w:rPr>
          <w:rFonts w:ascii="TyponineSans Reg" w:hAnsi="TyponineSans Reg"/>
          <w:szCs w:val="22"/>
        </w:rPr>
        <w:t xml:space="preserve">  i odnose se na sljedeće stavke prihoda:</w:t>
      </w:r>
    </w:p>
    <w:p w14:paraId="245061BB" w14:textId="29349865" w:rsidR="00697490" w:rsidRPr="001C6B35" w:rsidRDefault="00697490" w:rsidP="00697490">
      <w:pPr>
        <w:numPr>
          <w:ilvl w:val="0"/>
          <w:numId w:val="10"/>
        </w:numPr>
        <w:jc w:val="both"/>
        <w:rPr>
          <w:rFonts w:ascii="TyponineSans Reg" w:hAnsi="TyponineSans Reg"/>
          <w:szCs w:val="22"/>
        </w:rPr>
      </w:pPr>
      <w:r w:rsidRPr="001C6B35">
        <w:rPr>
          <w:rFonts w:ascii="TyponineSans Reg" w:hAnsi="TyponineSans Reg"/>
          <w:szCs w:val="22"/>
        </w:rPr>
        <w:t xml:space="preserve">Prihodi od prodaje </w:t>
      </w:r>
      <w:r w:rsidR="00C33692" w:rsidRPr="001C6B35">
        <w:rPr>
          <w:rFonts w:ascii="TyponineSans Reg" w:hAnsi="TyponineSans Reg"/>
          <w:szCs w:val="22"/>
        </w:rPr>
        <w:t xml:space="preserve">proizvoda i robe odnosno </w:t>
      </w:r>
      <w:r w:rsidRPr="001C6B35">
        <w:rPr>
          <w:rFonts w:ascii="TyponineSans Reg" w:hAnsi="TyponineSans Reg"/>
          <w:szCs w:val="22"/>
        </w:rPr>
        <w:t xml:space="preserve">trgovačke robe (sladoledi, cigarete i sl.) na šankovima Ustanove u iznosu </w:t>
      </w:r>
      <w:r w:rsidR="00C33692" w:rsidRPr="001C6B35">
        <w:rPr>
          <w:rFonts w:ascii="TyponineSans Reg" w:hAnsi="TyponineSans Reg"/>
          <w:szCs w:val="22"/>
        </w:rPr>
        <w:t>102.234,85 EUR</w:t>
      </w:r>
      <w:r w:rsidRPr="001C6B35">
        <w:rPr>
          <w:rFonts w:ascii="TyponineSans Reg" w:hAnsi="TyponineSans Reg"/>
          <w:szCs w:val="22"/>
        </w:rPr>
        <w:t xml:space="preserve"> što </w:t>
      </w:r>
      <w:r w:rsidR="006B169A" w:rsidRPr="001C6B35">
        <w:rPr>
          <w:rFonts w:ascii="TyponineSans Reg" w:hAnsi="TyponineSans Reg"/>
          <w:szCs w:val="22"/>
        </w:rPr>
        <w:t>predstavlja</w:t>
      </w:r>
      <w:r w:rsidR="00C33692" w:rsidRPr="001C6B35">
        <w:rPr>
          <w:rFonts w:ascii="TyponineSans Reg" w:hAnsi="TyponineSans Reg"/>
          <w:szCs w:val="22"/>
        </w:rPr>
        <w:t xml:space="preserve"> povećanje od 9,14% u odnosu na</w:t>
      </w:r>
      <w:r w:rsidRPr="001C6B35">
        <w:rPr>
          <w:rFonts w:ascii="TyponineSans Reg" w:hAnsi="TyponineSans Reg"/>
          <w:szCs w:val="22"/>
        </w:rPr>
        <w:t xml:space="preserve"> prethodn</w:t>
      </w:r>
      <w:r w:rsidR="00C33692" w:rsidRPr="001C6B35">
        <w:rPr>
          <w:rFonts w:ascii="TyponineSans Reg" w:hAnsi="TyponineSans Reg"/>
          <w:szCs w:val="22"/>
        </w:rPr>
        <w:t>u</w:t>
      </w:r>
      <w:r w:rsidRPr="001C6B35">
        <w:rPr>
          <w:rFonts w:ascii="TyponineSans Reg" w:hAnsi="TyponineSans Reg"/>
          <w:szCs w:val="22"/>
        </w:rPr>
        <w:t xml:space="preserve"> godin</w:t>
      </w:r>
      <w:r w:rsidR="00C33692" w:rsidRPr="001C6B35">
        <w:rPr>
          <w:rFonts w:ascii="TyponineSans Reg" w:hAnsi="TyponineSans Reg"/>
          <w:szCs w:val="22"/>
        </w:rPr>
        <w:t>u.</w:t>
      </w:r>
    </w:p>
    <w:p w14:paraId="3AC1FB94" w14:textId="495B888A" w:rsidR="00697490" w:rsidRPr="00457CBC" w:rsidRDefault="00697490" w:rsidP="00697490">
      <w:pPr>
        <w:numPr>
          <w:ilvl w:val="0"/>
          <w:numId w:val="10"/>
        </w:numPr>
        <w:jc w:val="both"/>
        <w:rPr>
          <w:rFonts w:ascii="TyponineSans Reg" w:hAnsi="TyponineSans Reg"/>
          <w:szCs w:val="22"/>
        </w:rPr>
      </w:pPr>
      <w:r w:rsidRPr="001C6B35">
        <w:rPr>
          <w:rFonts w:ascii="TyponineSans Reg" w:hAnsi="TyponineSans Reg"/>
          <w:szCs w:val="22"/>
        </w:rPr>
        <w:t>Prihodi od pruženih hotelijerskih usluga u iznosu 6</w:t>
      </w:r>
      <w:r w:rsidR="00C33692" w:rsidRPr="001C6B35">
        <w:rPr>
          <w:rFonts w:ascii="TyponineSans Reg" w:hAnsi="TyponineSans Reg"/>
          <w:szCs w:val="22"/>
        </w:rPr>
        <w:t>.771.304</w:t>
      </w:r>
      <w:r w:rsidRPr="001C6B35">
        <w:rPr>
          <w:rFonts w:ascii="TyponineSans Reg" w:hAnsi="TyponineSans Reg"/>
          <w:szCs w:val="22"/>
        </w:rPr>
        <w:t>,</w:t>
      </w:r>
      <w:r w:rsidR="00C33692" w:rsidRPr="001C6B35">
        <w:rPr>
          <w:rFonts w:ascii="TyponineSans Reg" w:hAnsi="TyponineSans Reg"/>
          <w:szCs w:val="22"/>
        </w:rPr>
        <w:t>28</w:t>
      </w:r>
      <w:r w:rsidRPr="001C6B35">
        <w:rPr>
          <w:rFonts w:ascii="TyponineSans Reg" w:hAnsi="TyponineSans Reg"/>
          <w:szCs w:val="22"/>
        </w:rPr>
        <w:t xml:space="preserve"> </w:t>
      </w:r>
      <w:r w:rsidR="00C87716" w:rsidRPr="001C6B35">
        <w:rPr>
          <w:rFonts w:ascii="TyponineSans Reg" w:hAnsi="TyponineSans Reg"/>
          <w:szCs w:val="22"/>
        </w:rPr>
        <w:t>EUR</w:t>
      </w:r>
      <w:r w:rsidRPr="001C6B35">
        <w:rPr>
          <w:rFonts w:ascii="TyponineSans Reg" w:hAnsi="TyponineSans Reg"/>
          <w:szCs w:val="22"/>
        </w:rPr>
        <w:t xml:space="preserve">, od kojih </w:t>
      </w:r>
      <w:r w:rsidR="00C33692" w:rsidRPr="001C6B35">
        <w:rPr>
          <w:rFonts w:ascii="TyponineSans Reg" w:hAnsi="TyponineSans Reg"/>
          <w:szCs w:val="22"/>
        </w:rPr>
        <w:t>3.104.605,14</w:t>
      </w:r>
      <w:r w:rsidRPr="001C6B35">
        <w:rPr>
          <w:rFonts w:ascii="TyponineSans Reg" w:hAnsi="TyponineSans Reg"/>
          <w:szCs w:val="22"/>
        </w:rPr>
        <w:t xml:space="preserve"> </w:t>
      </w:r>
      <w:r w:rsidR="00C87716" w:rsidRPr="001C6B35">
        <w:rPr>
          <w:rFonts w:ascii="TyponineSans Reg" w:hAnsi="TyponineSans Reg"/>
          <w:szCs w:val="22"/>
        </w:rPr>
        <w:t>EUR</w:t>
      </w:r>
      <w:r w:rsidRPr="001C6B35">
        <w:rPr>
          <w:rFonts w:ascii="TyponineSans Reg" w:hAnsi="TyponineSans Reg"/>
          <w:szCs w:val="22"/>
        </w:rPr>
        <w:t xml:space="preserve"> </w:t>
      </w:r>
      <w:r w:rsidR="00414B7C" w:rsidRPr="001C6B35">
        <w:rPr>
          <w:rFonts w:ascii="TyponineSans Reg" w:hAnsi="TyponineSans Reg"/>
          <w:szCs w:val="22"/>
        </w:rPr>
        <w:t>čine</w:t>
      </w:r>
      <w:r w:rsidRPr="001C6B35">
        <w:rPr>
          <w:rFonts w:ascii="TyponineSans Reg" w:hAnsi="TyponineSans Reg"/>
          <w:szCs w:val="22"/>
        </w:rPr>
        <w:t xml:space="preserve"> prihod</w:t>
      </w:r>
      <w:r w:rsidR="00414B7C" w:rsidRPr="001C6B35">
        <w:rPr>
          <w:rFonts w:ascii="TyponineSans Reg" w:hAnsi="TyponineSans Reg"/>
          <w:szCs w:val="22"/>
        </w:rPr>
        <w:t>i</w:t>
      </w:r>
      <w:r w:rsidRPr="001C6B35">
        <w:rPr>
          <w:rFonts w:ascii="TyponineSans Reg" w:hAnsi="TyponineSans Reg"/>
          <w:szCs w:val="22"/>
        </w:rPr>
        <w:t xml:space="preserve"> od smještaja, 1.</w:t>
      </w:r>
      <w:r w:rsidR="00C33692" w:rsidRPr="001C6B35">
        <w:rPr>
          <w:rFonts w:ascii="TyponineSans Reg" w:hAnsi="TyponineSans Reg"/>
          <w:szCs w:val="22"/>
        </w:rPr>
        <w:t>761.487,48</w:t>
      </w:r>
      <w:r w:rsidRPr="001C6B35">
        <w:rPr>
          <w:rFonts w:ascii="TyponineSans Reg" w:hAnsi="TyponineSans Reg"/>
          <w:szCs w:val="22"/>
        </w:rPr>
        <w:t xml:space="preserve"> </w:t>
      </w:r>
      <w:r w:rsidR="00C87716" w:rsidRPr="001C6B35">
        <w:rPr>
          <w:rFonts w:ascii="TyponineSans Reg" w:hAnsi="TyponineSans Reg"/>
          <w:szCs w:val="22"/>
        </w:rPr>
        <w:t>EUR</w:t>
      </w:r>
      <w:r w:rsidRPr="001C6B35">
        <w:rPr>
          <w:rFonts w:ascii="TyponineSans Reg" w:hAnsi="TyponineSans Reg"/>
          <w:szCs w:val="22"/>
        </w:rPr>
        <w:t xml:space="preserve"> prihod</w:t>
      </w:r>
      <w:r w:rsidR="00414B7C" w:rsidRPr="001C6B35">
        <w:rPr>
          <w:rFonts w:ascii="TyponineSans Reg" w:hAnsi="TyponineSans Reg"/>
          <w:szCs w:val="22"/>
        </w:rPr>
        <w:t>i</w:t>
      </w:r>
      <w:r w:rsidRPr="001C6B35">
        <w:rPr>
          <w:rFonts w:ascii="TyponineSans Reg" w:hAnsi="TyponineSans Reg"/>
          <w:szCs w:val="22"/>
        </w:rPr>
        <w:t xml:space="preserve"> od ugostiteljskih usluga, prihod</w:t>
      </w:r>
      <w:r w:rsidR="00414B7C" w:rsidRPr="001C6B35">
        <w:rPr>
          <w:rFonts w:ascii="TyponineSans Reg" w:hAnsi="TyponineSans Reg"/>
          <w:szCs w:val="22"/>
        </w:rPr>
        <w:t>i</w:t>
      </w:r>
      <w:r w:rsidRPr="001C6B35">
        <w:rPr>
          <w:rFonts w:ascii="TyponineSans Reg" w:hAnsi="TyponineSans Reg"/>
          <w:szCs w:val="22"/>
        </w:rPr>
        <w:t xml:space="preserve"> od </w:t>
      </w:r>
      <w:r w:rsidRPr="00457CBC">
        <w:rPr>
          <w:rFonts w:ascii="TyponineSans Reg" w:hAnsi="TyponineSans Reg"/>
          <w:szCs w:val="22"/>
        </w:rPr>
        <w:t>sporta u iznosu 9</w:t>
      </w:r>
      <w:r w:rsidR="00C33692" w:rsidRPr="00457CBC">
        <w:rPr>
          <w:rFonts w:ascii="TyponineSans Reg" w:hAnsi="TyponineSans Reg"/>
          <w:szCs w:val="22"/>
        </w:rPr>
        <w:t>25.583,11</w:t>
      </w:r>
      <w:r w:rsidRPr="00457CBC">
        <w:rPr>
          <w:rFonts w:ascii="TyponineSans Reg" w:hAnsi="TyponineSans Reg"/>
          <w:szCs w:val="22"/>
        </w:rPr>
        <w:t xml:space="preserve"> </w:t>
      </w:r>
      <w:r w:rsidR="00C87716" w:rsidRPr="00457CBC">
        <w:rPr>
          <w:rFonts w:ascii="TyponineSans Reg" w:hAnsi="TyponineSans Reg"/>
          <w:szCs w:val="22"/>
        </w:rPr>
        <w:t>EUR</w:t>
      </w:r>
      <w:r w:rsidRPr="00457CBC">
        <w:rPr>
          <w:rFonts w:ascii="TyponineSans Reg" w:hAnsi="TyponineSans Reg"/>
          <w:szCs w:val="22"/>
        </w:rPr>
        <w:t>, prihod</w:t>
      </w:r>
      <w:r w:rsidR="00414B7C" w:rsidRPr="00457CBC">
        <w:rPr>
          <w:rFonts w:ascii="TyponineSans Reg" w:hAnsi="TyponineSans Reg"/>
          <w:szCs w:val="22"/>
        </w:rPr>
        <w:t>i</w:t>
      </w:r>
      <w:r w:rsidRPr="00457CBC">
        <w:rPr>
          <w:rFonts w:ascii="TyponineSans Reg" w:hAnsi="TyponineSans Reg"/>
          <w:szCs w:val="22"/>
        </w:rPr>
        <w:t xml:space="preserve"> od veza broda 3</w:t>
      </w:r>
      <w:r w:rsidR="00C33692" w:rsidRPr="00457CBC">
        <w:rPr>
          <w:rFonts w:ascii="TyponineSans Reg" w:hAnsi="TyponineSans Reg"/>
          <w:szCs w:val="22"/>
        </w:rPr>
        <w:t xml:space="preserve">74.323,69 </w:t>
      </w:r>
      <w:r w:rsidR="00C87716" w:rsidRPr="00457CBC">
        <w:rPr>
          <w:rFonts w:ascii="TyponineSans Reg" w:hAnsi="TyponineSans Reg"/>
          <w:szCs w:val="22"/>
        </w:rPr>
        <w:t>EUR</w:t>
      </w:r>
      <w:r w:rsidRPr="00457CBC">
        <w:rPr>
          <w:rFonts w:ascii="TyponineSans Reg" w:hAnsi="TyponineSans Reg"/>
          <w:szCs w:val="22"/>
        </w:rPr>
        <w:t>, te ostali prihod</w:t>
      </w:r>
      <w:r w:rsidR="00414B7C" w:rsidRPr="00457CBC">
        <w:rPr>
          <w:rFonts w:ascii="TyponineSans Reg" w:hAnsi="TyponineSans Reg"/>
          <w:szCs w:val="22"/>
        </w:rPr>
        <w:t>i</w:t>
      </w:r>
      <w:r w:rsidRPr="00457CBC">
        <w:rPr>
          <w:rFonts w:ascii="TyponineSans Reg" w:hAnsi="TyponineSans Reg"/>
          <w:szCs w:val="22"/>
        </w:rPr>
        <w:t xml:space="preserve"> pruženih usluga u iznosu </w:t>
      </w:r>
      <w:r w:rsidR="006D525F" w:rsidRPr="00457CBC">
        <w:rPr>
          <w:rFonts w:ascii="TyponineSans Reg" w:hAnsi="TyponineSans Reg"/>
          <w:szCs w:val="22"/>
        </w:rPr>
        <w:lastRenderedPageBreak/>
        <w:t>605.304,86</w:t>
      </w:r>
      <w:r w:rsidRPr="00457CBC">
        <w:rPr>
          <w:rFonts w:ascii="TyponineSans Reg" w:hAnsi="TyponineSans Reg"/>
          <w:szCs w:val="22"/>
        </w:rPr>
        <w:t xml:space="preserve"> </w:t>
      </w:r>
      <w:r w:rsidR="00C87716" w:rsidRPr="00457CBC">
        <w:rPr>
          <w:rFonts w:ascii="TyponineSans Reg" w:hAnsi="TyponineSans Reg"/>
          <w:szCs w:val="22"/>
        </w:rPr>
        <w:t>EUR</w:t>
      </w:r>
      <w:r w:rsidRPr="00457CBC">
        <w:rPr>
          <w:rFonts w:ascii="TyponineSans Reg" w:hAnsi="TyponineSans Reg"/>
          <w:szCs w:val="22"/>
        </w:rPr>
        <w:t>. Prihodi od pruženih hotelijerskih usluga veći  su u odnosu na ostvarene u 202</w:t>
      </w:r>
      <w:r w:rsidR="006D525F" w:rsidRPr="00457CBC">
        <w:rPr>
          <w:rFonts w:ascii="TyponineSans Reg" w:hAnsi="TyponineSans Reg"/>
          <w:szCs w:val="22"/>
        </w:rPr>
        <w:t>3</w:t>
      </w:r>
      <w:r w:rsidRPr="00457CBC">
        <w:rPr>
          <w:rFonts w:ascii="TyponineSans Reg" w:hAnsi="TyponineSans Reg"/>
          <w:szCs w:val="22"/>
        </w:rPr>
        <w:t xml:space="preserve">. godini za </w:t>
      </w:r>
      <w:r w:rsidR="006D525F" w:rsidRPr="00457CBC">
        <w:rPr>
          <w:rFonts w:ascii="TyponineSans Reg" w:hAnsi="TyponineSans Reg"/>
          <w:szCs w:val="22"/>
        </w:rPr>
        <w:t>4,31</w:t>
      </w:r>
      <w:r w:rsidRPr="00457CBC">
        <w:rPr>
          <w:rFonts w:ascii="TyponineSans Reg" w:hAnsi="TyponineSans Reg"/>
          <w:szCs w:val="22"/>
        </w:rPr>
        <w:t xml:space="preserve">% odnosno </w:t>
      </w:r>
      <w:r w:rsidR="006D525F" w:rsidRPr="00457CBC">
        <w:rPr>
          <w:rFonts w:ascii="TyponineSans Reg" w:hAnsi="TyponineSans Reg"/>
          <w:szCs w:val="22"/>
        </w:rPr>
        <w:t>279.914,20</w:t>
      </w:r>
      <w:r w:rsidRPr="00457CBC">
        <w:rPr>
          <w:rFonts w:ascii="TyponineSans Reg" w:hAnsi="TyponineSans Reg"/>
          <w:szCs w:val="22"/>
        </w:rPr>
        <w:t xml:space="preserve"> </w:t>
      </w:r>
      <w:r w:rsidR="00C87716" w:rsidRPr="00457CBC">
        <w:rPr>
          <w:rFonts w:ascii="TyponineSans Reg" w:hAnsi="TyponineSans Reg"/>
          <w:szCs w:val="22"/>
        </w:rPr>
        <w:t>EUR</w:t>
      </w:r>
      <w:r w:rsidRPr="00457CBC">
        <w:rPr>
          <w:rFonts w:ascii="TyponineSans Reg" w:hAnsi="TyponineSans Reg"/>
          <w:szCs w:val="22"/>
        </w:rPr>
        <w:t>.</w:t>
      </w:r>
    </w:p>
    <w:p w14:paraId="3EDD42E5" w14:textId="2976BFC8" w:rsidR="00697490" w:rsidRPr="00457CBC" w:rsidRDefault="00697490" w:rsidP="003D1DAE">
      <w:pPr>
        <w:ind w:left="720"/>
        <w:jc w:val="both"/>
        <w:rPr>
          <w:rFonts w:ascii="TyponineSans Reg" w:hAnsi="TyponineSans Reg"/>
          <w:szCs w:val="22"/>
        </w:rPr>
      </w:pPr>
      <w:r w:rsidRPr="00457CBC">
        <w:rPr>
          <w:rFonts w:ascii="TyponineSans Reg" w:hAnsi="TyponineSans Reg"/>
          <w:szCs w:val="22"/>
        </w:rPr>
        <w:t>Prihod</w:t>
      </w:r>
      <w:r w:rsidR="00D77D07" w:rsidRPr="00457CBC">
        <w:rPr>
          <w:rFonts w:ascii="TyponineSans Reg" w:hAnsi="TyponineSans Reg"/>
          <w:szCs w:val="22"/>
        </w:rPr>
        <w:t>i</w:t>
      </w:r>
      <w:r w:rsidRPr="00457CBC">
        <w:rPr>
          <w:rFonts w:ascii="TyponineSans Reg" w:hAnsi="TyponineSans Reg"/>
          <w:szCs w:val="22"/>
        </w:rPr>
        <w:t xml:space="preserve"> od pruženih ostalih usluga </w:t>
      </w:r>
      <w:r w:rsidR="0027538A" w:rsidRPr="00457CBC">
        <w:rPr>
          <w:rFonts w:ascii="TyponineSans Reg" w:hAnsi="TyponineSans Reg"/>
          <w:szCs w:val="22"/>
        </w:rPr>
        <w:t xml:space="preserve">čine naplaćene </w:t>
      </w:r>
      <w:r w:rsidRPr="00457CBC">
        <w:rPr>
          <w:rFonts w:ascii="TyponineSans Reg" w:hAnsi="TyponineSans Reg"/>
          <w:szCs w:val="22"/>
        </w:rPr>
        <w:t>uslug</w:t>
      </w:r>
      <w:r w:rsidR="0027538A" w:rsidRPr="00457CBC">
        <w:rPr>
          <w:rFonts w:ascii="TyponineSans Reg" w:hAnsi="TyponineSans Reg"/>
          <w:szCs w:val="22"/>
        </w:rPr>
        <w:t>e</w:t>
      </w:r>
      <w:r w:rsidRPr="00457CBC">
        <w:rPr>
          <w:rFonts w:ascii="TyponineSans Reg" w:hAnsi="TyponineSans Reg"/>
          <w:szCs w:val="22"/>
        </w:rPr>
        <w:t xml:space="preserve"> iznajmljivanja prostora za postavljene bankomate, </w:t>
      </w:r>
      <w:r w:rsidR="003D1DAE" w:rsidRPr="00457CBC">
        <w:rPr>
          <w:rFonts w:ascii="TyponineSans Reg" w:hAnsi="TyponineSans Reg"/>
          <w:szCs w:val="22"/>
        </w:rPr>
        <w:t>prihodi</w:t>
      </w:r>
      <w:r w:rsidRPr="00457CBC">
        <w:rPr>
          <w:rFonts w:ascii="TyponineSans Reg" w:hAnsi="TyponineSans Reg"/>
          <w:szCs w:val="22"/>
        </w:rPr>
        <w:t xml:space="preserve"> od pruženih koncesija za oplovljavanje odnosno turističko posječivanje plovilima</w:t>
      </w:r>
      <w:r w:rsidR="00FF2A24" w:rsidRPr="00457CBC">
        <w:rPr>
          <w:rFonts w:ascii="TyponineSans Reg" w:hAnsi="TyponineSans Reg"/>
          <w:szCs w:val="22"/>
        </w:rPr>
        <w:t xml:space="preserve"> i ostale koncesije</w:t>
      </w:r>
      <w:r w:rsidRPr="00457CBC">
        <w:rPr>
          <w:rFonts w:ascii="TyponineSans Reg" w:hAnsi="TyponineSans Reg"/>
          <w:szCs w:val="22"/>
        </w:rPr>
        <w:t>, prihod</w:t>
      </w:r>
      <w:r w:rsidR="003D1DAE" w:rsidRPr="00457CBC">
        <w:rPr>
          <w:rFonts w:ascii="TyponineSans Reg" w:hAnsi="TyponineSans Reg"/>
          <w:szCs w:val="22"/>
        </w:rPr>
        <w:t>i</w:t>
      </w:r>
      <w:r w:rsidRPr="00457CBC">
        <w:rPr>
          <w:rFonts w:ascii="TyponineSans Reg" w:hAnsi="TyponineSans Reg"/>
          <w:szCs w:val="22"/>
        </w:rPr>
        <w:t xml:space="preserve"> od naplaćenih naknada za ronilačke zarone, prihodi od pruženih usluga prijevoza, prihodi od usluga lova</w:t>
      </w:r>
      <w:r w:rsidR="003D1DAE" w:rsidRPr="00457CBC">
        <w:rPr>
          <w:rFonts w:ascii="TyponineSans Reg" w:hAnsi="TyponineSans Reg"/>
          <w:szCs w:val="22"/>
        </w:rPr>
        <w:t>,</w:t>
      </w:r>
      <w:r w:rsidRPr="00457CBC">
        <w:rPr>
          <w:rFonts w:ascii="TyponineSans Reg" w:hAnsi="TyponineSans Reg"/>
          <w:szCs w:val="22"/>
        </w:rPr>
        <w:t xml:space="preserve"> prihod</w:t>
      </w:r>
      <w:r w:rsidR="00D77D07" w:rsidRPr="00457CBC">
        <w:rPr>
          <w:rFonts w:ascii="TyponineSans Reg" w:hAnsi="TyponineSans Reg"/>
          <w:szCs w:val="22"/>
        </w:rPr>
        <w:t>a</w:t>
      </w:r>
      <w:r w:rsidRPr="00457CBC">
        <w:rPr>
          <w:rFonts w:ascii="TyponineSans Reg" w:hAnsi="TyponineSans Reg"/>
          <w:szCs w:val="22"/>
        </w:rPr>
        <w:t xml:space="preserve"> od ostalih usluga </w:t>
      </w:r>
      <w:r w:rsidR="00D77D07" w:rsidRPr="00457CBC">
        <w:rPr>
          <w:rFonts w:ascii="TyponineSans Reg" w:hAnsi="TyponineSans Reg"/>
          <w:szCs w:val="22"/>
        </w:rPr>
        <w:t>naplaćenih putem recepcije, prihoda refundacija režijskih troškova naplaćenih MORH-u i Državnim nekretninama.</w:t>
      </w:r>
      <w:r w:rsidRPr="00457CBC">
        <w:rPr>
          <w:rFonts w:ascii="TyponineSans Reg" w:hAnsi="TyponineSans Reg"/>
          <w:szCs w:val="22"/>
        </w:rPr>
        <w:t xml:space="preserve"> </w:t>
      </w:r>
    </w:p>
    <w:p w14:paraId="6C95B1A4" w14:textId="51D02C05" w:rsidR="00697490" w:rsidRPr="00457CBC" w:rsidRDefault="00697490" w:rsidP="00697490">
      <w:pPr>
        <w:numPr>
          <w:ilvl w:val="0"/>
          <w:numId w:val="10"/>
        </w:numPr>
        <w:jc w:val="both"/>
        <w:rPr>
          <w:rFonts w:ascii="TyponineSans Reg" w:hAnsi="TyponineSans Reg"/>
          <w:szCs w:val="22"/>
        </w:rPr>
      </w:pPr>
      <w:r w:rsidRPr="00457CBC">
        <w:rPr>
          <w:rFonts w:ascii="TyponineSans Reg" w:hAnsi="TyponineSans Reg"/>
          <w:szCs w:val="22"/>
        </w:rPr>
        <w:t xml:space="preserve">Prihodi od donacija ostvareni su u </w:t>
      </w:r>
      <w:r w:rsidR="00310927" w:rsidRPr="00457CBC">
        <w:rPr>
          <w:rFonts w:ascii="TyponineSans Reg" w:hAnsi="TyponineSans Reg"/>
          <w:szCs w:val="22"/>
        </w:rPr>
        <w:t>i</w:t>
      </w:r>
      <w:r w:rsidRPr="00457CBC">
        <w:rPr>
          <w:rFonts w:ascii="TyponineSans Reg" w:hAnsi="TyponineSans Reg"/>
          <w:szCs w:val="22"/>
        </w:rPr>
        <w:t xml:space="preserve">znosu </w:t>
      </w:r>
      <w:r w:rsidR="0027538A" w:rsidRPr="00457CBC">
        <w:rPr>
          <w:rFonts w:ascii="TyponineSans Reg" w:hAnsi="TyponineSans Reg"/>
          <w:szCs w:val="22"/>
        </w:rPr>
        <w:t>5.494.,90</w:t>
      </w:r>
      <w:r w:rsidRPr="00457CBC">
        <w:rPr>
          <w:rFonts w:ascii="TyponineSans Reg" w:hAnsi="TyponineSans Reg"/>
          <w:szCs w:val="22"/>
        </w:rPr>
        <w:t xml:space="preserve"> </w:t>
      </w:r>
      <w:r w:rsidR="00C87716" w:rsidRPr="00457CBC">
        <w:rPr>
          <w:rFonts w:ascii="TyponineSans Reg" w:hAnsi="TyponineSans Reg"/>
          <w:szCs w:val="22"/>
        </w:rPr>
        <w:t>EUR</w:t>
      </w:r>
      <w:r w:rsidR="00310927" w:rsidRPr="00457CBC">
        <w:rPr>
          <w:rFonts w:ascii="TyponineSans Reg" w:hAnsi="TyponineSans Reg"/>
          <w:szCs w:val="22"/>
        </w:rPr>
        <w:t xml:space="preserve">, čine ih </w:t>
      </w:r>
      <w:r w:rsidRPr="00457CBC">
        <w:rPr>
          <w:rFonts w:ascii="TyponineSans Reg" w:hAnsi="TyponineSans Reg"/>
          <w:szCs w:val="22"/>
        </w:rPr>
        <w:t>tekuć</w:t>
      </w:r>
      <w:r w:rsidR="00310927" w:rsidRPr="00457CBC">
        <w:rPr>
          <w:rFonts w:ascii="TyponineSans Reg" w:hAnsi="TyponineSans Reg"/>
          <w:szCs w:val="22"/>
        </w:rPr>
        <w:t>e</w:t>
      </w:r>
      <w:r w:rsidRPr="00457CBC">
        <w:rPr>
          <w:rFonts w:ascii="TyponineSans Reg" w:hAnsi="TyponineSans Reg"/>
          <w:szCs w:val="22"/>
        </w:rPr>
        <w:t xml:space="preserve"> donacij</w:t>
      </w:r>
      <w:r w:rsidR="00310927" w:rsidRPr="00457CBC">
        <w:rPr>
          <w:rFonts w:ascii="TyponineSans Reg" w:hAnsi="TyponineSans Reg"/>
          <w:szCs w:val="22"/>
        </w:rPr>
        <w:t xml:space="preserve">e fizičkih osoba </w:t>
      </w:r>
      <w:r w:rsidRPr="00457CBC">
        <w:rPr>
          <w:rFonts w:ascii="TyponineSans Reg" w:hAnsi="TyponineSans Reg"/>
          <w:szCs w:val="22"/>
        </w:rPr>
        <w:t>u iznosu 6</w:t>
      </w:r>
      <w:r w:rsidR="0027538A" w:rsidRPr="00457CBC">
        <w:rPr>
          <w:rFonts w:ascii="TyponineSans Reg" w:hAnsi="TyponineSans Reg"/>
          <w:szCs w:val="22"/>
        </w:rPr>
        <w:t>94,90</w:t>
      </w:r>
      <w:r w:rsidRPr="00457CBC">
        <w:rPr>
          <w:rFonts w:ascii="TyponineSans Reg" w:hAnsi="TyponineSans Reg"/>
          <w:szCs w:val="22"/>
        </w:rPr>
        <w:t xml:space="preserve"> </w:t>
      </w:r>
      <w:r w:rsidR="00C87716" w:rsidRPr="00457CBC">
        <w:rPr>
          <w:rFonts w:ascii="TyponineSans Reg" w:hAnsi="TyponineSans Reg"/>
          <w:szCs w:val="22"/>
        </w:rPr>
        <w:t>EUR</w:t>
      </w:r>
      <w:r w:rsidRPr="00457CBC">
        <w:rPr>
          <w:rFonts w:ascii="TyponineSans Reg" w:hAnsi="TyponineSans Reg"/>
          <w:szCs w:val="22"/>
        </w:rPr>
        <w:t xml:space="preserve"> </w:t>
      </w:r>
      <w:r w:rsidR="00310927" w:rsidRPr="00457CBC">
        <w:rPr>
          <w:rFonts w:ascii="TyponineSans Reg" w:hAnsi="TyponineSans Reg"/>
          <w:szCs w:val="22"/>
        </w:rPr>
        <w:t>za slonicu Lanku</w:t>
      </w:r>
      <w:r w:rsidRPr="00457CBC">
        <w:rPr>
          <w:rFonts w:ascii="TyponineSans Reg" w:hAnsi="TyponineSans Reg"/>
          <w:szCs w:val="22"/>
        </w:rPr>
        <w:t xml:space="preserve"> i kapitaln</w:t>
      </w:r>
      <w:r w:rsidR="00310927" w:rsidRPr="00457CBC">
        <w:rPr>
          <w:rFonts w:ascii="TyponineSans Reg" w:hAnsi="TyponineSans Reg"/>
          <w:szCs w:val="22"/>
        </w:rPr>
        <w:t>e</w:t>
      </w:r>
      <w:r w:rsidRPr="00457CBC">
        <w:rPr>
          <w:rFonts w:ascii="TyponineSans Reg" w:hAnsi="TyponineSans Reg"/>
          <w:szCs w:val="22"/>
        </w:rPr>
        <w:t xml:space="preserve"> donacij</w:t>
      </w:r>
      <w:r w:rsidR="00310927" w:rsidRPr="00457CBC">
        <w:rPr>
          <w:rFonts w:ascii="TyponineSans Reg" w:hAnsi="TyponineSans Reg"/>
          <w:szCs w:val="22"/>
        </w:rPr>
        <w:t>e</w:t>
      </w:r>
      <w:r w:rsidRPr="00457CBC">
        <w:rPr>
          <w:rFonts w:ascii="TyponineSans Reg" w:hAnsi="TyponineSans Reg"/>
          <w:szCs w:val="22"/>
        </w:rPr>
        <w:t xml:space="preserve"> u iznosu </w:t>
      </w:r>
      <w:r w:rsidR="0027538A" w:rsidRPr="00457CBC">
        <w:rPr>
          <w:rFonts w:ascii="TyponineSans Reg" w:hAnsi="TyponineSans Reg"/>
          <w:szCs w:val="22"/>
        </w:rPr>
        <w:t>4.800</w:t>
      </w:r>
      <w:r w:rsidRPr="00457CBC">
        <w:rPr>
          <w:rFonts w:ascii="TyponineSans Reg" w:hAnsi="TyponineSans Reg"/>
          <w:szCs w:val="22"/>
        </w:rPr>
        <w:t xml:space="preserve"> </w:t>
      </w:r>
      <w:r w:rsidR="00C87716" w:rsidRPr="00457CBC">
        <w:rPr>
          <w:rFonts w:ascii="TyponineSans Reg" w:hAnsi="TyponineSans Reg"/>
          <w:szCs w:val="22"/>
        </w:rPr>
        <w:t>EUR</w:t>
      </w:r>
      <w:r w:rsidR="00310927" w:rsidRPr="00457CBC">
        <w:rPr>
          <w:rFonts w:ascii="TyponineSans Reg" w:hAnsi="TyponineSans Reg"/>
          <w:szCs w:val="22"/>
        </w:rPr>
        <w:t xml:space="preserve"> i </w:t>
      </w:r>
      <w:r w:rsidRPr="00457CBC">
        <w:rPr>
          <w:rFonts w:ascii="TyponineSans Reg" w:hAnsi="TyponineSans Reg"/>
          <w:szCs w:val="22"/>
        </w:rPr>
        <w:t>odnose se na donacij</w:t>
      </w:r>
      <w:r w:rsidR="00310927" w:rsidRPr="00457CBC">
        <w:rPr>
          <w:rFonts w:ascii="TyponineSans Reg" w:hAnsi="TyponineSans Reg"/>
          <w:szCs w:val="22"/>
        </w:rPr>
        <w:t>u</w:t>
      </w:r>
      <w:r w:rsidRPr="00457CBC">
        <w:rPr>
          <w:rFonts w:ascii="TyponineSans Reg" w:hAnsi="TyponineSans Reg"/>
          <w:szCs w:val="22"/>
        </w:rPr>
        <w:t xml:space="preserve"> </w:t>
      </w:r>
      <w:r w:rsidR="00A8493B" w:rsidRPr="00457CBC">
        <w:rPr>
          <w:rFonts w:ascii="TyponineSans Reg" w:hAnsi="TyponineSans Reg"/>
          <w:szCs w:val="22"/>
        </w:rPr>
        <w:t xml:space="preserve">umjetničke slike </w:t>
      </w:r>
      <w:r w:rsidR="00310927" w:rsidRPr="00457CBC">
        <w:rPr>
          <w:rFonts w:ascii="TyponineSans Reg" w:hAnsi="TyponineSans Reg"/>
          <w:szCs w:val="22"/>
        </w:rPr>
        <w:t xml:space="preserve">procijenjene </w:t>
      </w:r>
      <w:r w:rsidR="00A8493B" w:rsidRPr="00457CBC">
        <w:rPr>
          <w:rFonts w:ascii="TyponineSans Reg" w:hAnsi="TyponineSans Reg"/>
          <w:szCs w:val="22"/>
        </w:rPr>
        <w:t xml:space="preserve">vrijednosti 2.800 </w:t>
      </w:r>
      <w:r w:rsidR="00C87716" w:rsidRPr="00457CBC">
        <w:rPr>
          <w:rFonts w:ascii="TyponineSans Reg" w:hAnsi="TyponineSans Reg"/>
          <w:szCs w:val="22"/>
        </w:rPr>
        <w:t>EUR</w:t>
      </w:r>
      <w:r w:rsidRPr="00457CBC">
        <w:rPr>
          <w:rFonts w:ascii="TyponineSans Reg" w:hAnsi="TyponineSans Reg"/>
          <w:szCs w:val="22"/>
        </w:rPr>
        <w:t xml:space="preserve"> i </w:t>
      </w:r>
      <w:r w:rsidR="00A8493B" w:rsidRPr="00457CBC">
        <w:rPr>
          <w:rFonts w:ascii="TyponineSans Reg" w:hAnsi="TyponineSans Reg"/>
          <w:szCs w:val="22"/>
        </w:rPr>
        <w:t>solarne konzole za parkovnu klupu u iznosu 2.000</w:t>
      </w:r>
      <w:r w:rsidRPr="00457CBC">
        <w:rPr>
          <w:rFonts w:ascii="TyponineSans Reg" w:hAnsi="TyponineSans Reg"/>
          <w:szCs w:val="22"/>
        </w:rPr>
        <w:t xml:space="preserve"> </w:t>
      </w:r>
      <w:r w:rsidR="00C87716" w:rsidRPr="00457CBC">
        <w:rPr>
          <w:rFonts w:ascii="TyponineSans Reg" w:hAnsi="TyponineSans Reg"/>
          <w:szCs w:val="22"/>
        </w:rPr>
        <w:t>EUR</w:t>
      </w:r>
      <w:r w:rsidRPr="00457CBC">
        <w:rPr>
          <w:rFonts w:ascii="TyponineSans Reg" w:hAnsi="TyponineSans Reg"/>
          <w:szCs w:val="22"/>
        </w:rPr>
        <w:t>.</w:t>
      </w:r>
    </w:p>
    <w:p w14:paraId="45CCC5E2" w14:textId="77777777" w:rsidR="00697490" w:rsidRPr="00457CBC" w:rsidRDefault="00697490" w:rsidP="00697490">
      <w:pPr>
        <w:jc w:val="both"/>
        <w:rPr>
          <w:rFonts w:ascii="TyponineSans Reg" w:hAnsi="TyponineSans Reg"/>
          <w:b/>
          <w:szCs w:val="22"/>
        </w:rPr>
      </w:pPr>
    </w:p>
    <w:p w14:paraId="5BD038C1" w14:textId="77777777" w:rsidR="00697490" w:rsidRPr="00457CBC" w:rsidRDefault="00697490" w:rsidP="00697490">
      <w:pPr>
        <w:jc w:val="both"/>
        <w:rPr>
          <w:rFonts w:ascii="TyponineSans Reg" w:hAnsi="TyponineSans Reg"/>
          <w:b/>
          <w:sz w:val="24"/>
          <w:szCs w:val="24"/>
        </w:rPr>
      </w:pPr>
      <w:r w:rsidRPr="00457CBC">
        <w:rPr>
          <w:rFonts w:ascii="TyponineSans Reg" w:hAnsi="TyponineSans Reg"/>
          <w:b/>
          <w:sz w:val="24"/>
          <w:szCs w:val="24"/>
        </w:rPr>
        <w:t>Šifra 67</w:t>
      </w:r>
    </w:p>
    <w:p w14:paraId="5E1E3328" w14:textId="77777777" w:rsidR="00697490" w:rsidRPr="00457CBC" w:rsidRDefault="00697490" w:rsidP="00697490">
      <w:pPr>
        <w:jc w:val="both"/>
        <w:rPr>
          <w:rFonts w:ascii="TyponineSans Reg" w:hAnsi="TyponineSans Reg"/>
          <w:b/>
          <w:szCs w:val="22"/>
        </w:rPr>
      </w:pPr>
      <w:r w:rsidRPr="00457CBC">
        <w:rPr>
          <w:rFonts w:ascii="TyponineSans Reg" w:hAnsi="TyponineSans Reg"/>
          <w:b/>
          <w:szCs w:val="22"/>
        </w:rPr>
        <w:t>Prihodi iz nadležnog proračuna</w:t>
      </w:r>
    </w:p>
    <w:p w14:paraId="479D66B7" w14:textId="77777777" w:rsidR="00697490" w:rsidRPr="00457CBC" w:rsidRDefault="00697490" w:rsidP="00697490">
      <w:pPr>
        <w:jc w:val="both"/>
        <w:rPr>
          <w:rFonts w:ascii="TyponineSans Reg" w:hAnsi="TyponineSans Reg"/>
          <w:bCs/>
          <w:szCs w:val="22"/>
        </w:rPr>
      </w:pPr>
    </w:p>
    <w:p w14:paraId="7C7A4482" w14:textId="4F54D391" w:rsidR="00697490" w:rsidRPr="00457CBC" w:rsidRDefault="00697490" w:rsidP="00697490">
      <w:pPr>
        <w:jc w:val="both"/>
        <w:rPr>
          <w:rFonts w:ascii="TyponineSans Reg" w:hAnsi="TyponineSans Reg"/>
          <w:bCs/>
          <w:szCs w:val="22"/>
        </w:rPr>
      </w:pPr>
      <w:r w:rsidRPr="00457CBC">
        <w:rPr>
          <w:rFonts w:ascii="TyponineSans Reg" w:hAnsi="TyponineSans Reg"/>
          <w:bCs/>
          <w:szCs w:val="22"/>
        </w:rPr>
        <w:t xml:space="preserve">Prihodi iz nadležnog proračuna odnose se na primljena sredstva od nadležnog Ministarstva </w:t>
      </w:r>
      <w:r w:rsidR="00947D9C" w:rsidRPr="00457CBC">
        <w:rPr>
          <w:rFonts w:ascii="TyponineSans Reg" w:hAnsi="TyponineSans Reg"/>
          <w:bCs/>
          <w:szCs w:val="22"/>
        </w:rPr>
        <w:t>zaštite okoliša i zelene tranzicije</w:t>
      </w:r>
      <w:r w:rsidRPr="00457CBC">
        <w:rPr>
          <w:rFonts w:ascii="TyponineSans Reg" w:hAnsi="TyponineSans Reg"/>
          <w:bCs/>
          <w:szCs w:val="22"/>
        </w:rPr>
        <w:t xml:space="preserve"> u iznosu </w:t>
      </w:r>
      <w:r w:rsidR="00947D9C" w:rsidRPr="00457CBC">
        <w:rPr>
          <w:rFonts w:ascii="TyponineSans Reg" w:hAnsi="TyponineSans Reg"/>
          <w:bCs/>
          <w:szCs w:val="22"/>
        </w:rPr>
        <w:t>750.000</w:t>
      </w:r>
      <w:r w:rsidRPr="00457CBC">
        <w:rPr>
          <w:rFonts w:ascii="TyponineSans Reg" w:hAnsi="TyponineSans Reg"/>
          <w:bCs/>
          <w:szCs w:val="22"/>
        </w:rPr>
        <w:t xml:space="preserve"> </w:t>
      </w:r>
      <w:r w:rsidR="00C87716" w:rsidRPr="00457CBC">
        <w:rPr>
          <w:rFonts w:ascii="TyponineSans Reg" w:hAnsi="TyponineSans Reg"/>
          <w:bCs/>
          <w:szCs w:val="22"/>
        </w:rPr>
        <w:t>EUR</w:t>
      </w:r>
      <w:r w:rsidRPr="00457CBC">
        <w:rPr>
          <w:rFonts w:ascii="TyponineSans Reg" w:hAnsi="TyponineSans Reg"/>
          <w:bCs/>
          <w:szCs w:val="22"/>
        </w:rPr>
        <w:t xml:space="preserve"> za pokriće </w:t>
      </w:r>
      <w:r w:rsidR="00947D9C" w:rsidRPr="00457CBC">
        <w:rPr>
          <w:rFonts w:ascii="TyponineSans Reg" w:hAnsi="TyponineSans Reg"/>
          <w:bCs/>
          <w:szCs w:val="22"/>
        </w:rPr>
        <w:t>rashoda za zaposlene.</w:t>
      </w:r>
      <w:r w:rsidRPr="00457CBC">
        <w:rPr>
          <w:rFonts w:ascii="TyponineSans Reg" w:hAnsi="TyponineSans Reg"/>
          <w:bCs/>
          <w:szCs w:val="22"/>
        </w:rPr>
        <w:t xml:space="preserve"> U prethodnoj godini Ustanova je ostvarila prihode po navedenoj osnovi u iznosu </w:t>
      </w:r>
      <w:r w:rsidR="00947D9C" w:rsidRPr="00457CBC">
        <w:rPr>
          <w:rFonts w:ascii="TyponineSans Reg" w:hAnsi="TyponineSans Reg"/>
          <w:bCs/>
          <w:szCs w:val="22"/>
        </w:rPr>
        <w:t>265.466</w:t>
      </w:r>
      <w:r w:rsidRPr="00457CBC">
        <w:rPr>
          <w:rFonts w:ascii="TyponineSans Reg" w:hAnsi="TyponineSans Reg"/>
          <w:bCs/>
          <w:szCs w:val="22"/>
        </w:rPr>
        <w:t xml:space="preserve"> </w:t>
      </w:r>
      <w:r w:rsidR="00C87716" w:rsidRPr="00457CBC">
        <w:rPr>
          <w:rFonts w:ascii="TyponineSans Reg" w:hAnsi="TyponineSans Reg"/>
          <w:bCs/>
          <w:szCs w:val="22"/>
        </w:rPr>
        <w:t>EUR</w:t>
      </w:r>
      <w:r w:rsidRPr="00457CBC">
        <w:rPr>
          <w:rFonts w:ascii="TyponineSans Reg" w:hAnsi="TyponineSans Reg"/>
          <w:bCs/>
          <w:szCs w:val="22"/>
        </w:rPr>
        <w:t xml:space="preserve"> što predstavlja </w:t>
      </w:r>
      <w:r w:rsidR="00947D9C" w:rsidRPr="00457CBC">
        <w:rPr>
          <w:rFonts w:ascii="TyponineSans Reg" w:hAnsi="TyponineSans Reg"/>
          <w:bCs/>
          <w:szCs w:val="22"/>
        </w:rPr>
        <w:t>povećanje</w:t>
      </w:r>
      <w:r w:rsidRPr="00457CBC">
        <w:rPr>
          <w:rFonts w:ascii="TyponineSans Reg" w:hAnsi="TyponineSans Reg"/>
          <w:bCs/>
          <w:szCs w:val="22"/>
        </w:rPr>
        <w:t xml:space="preserve"> </w:t>
      </w:r>
      <w:r w:rsidR="00BE038A" w:rsidRPr="00457CBC">
        <w:rPr>
          <w:rFonts w:ascii="TyponineSans Reg" w:hAnsi="TyponineSans Reg"/>
          <w:bCs/>
          <w:szCs w:val="22"/>
        </w:rPr>
        <w:t xml:space="preserve">od </w:t>
      </w:r>
      <w:r w:rsidR="00947D9C" w:rsidRPr="00457CBC">
        <w:rPr>
          <w:rFonts w:ascii="TyponineSans Reg" w:hAnsi="TyponineSans Reg"/>
          <w:bCs/>
          <w:szCs w:val="22"/>
        </w:rPr>
        <w:t>182,54</w:t>
      </w:r>
      <w:r w:rsidRPr="00457CBC">
        <w:rPr>
          <w:rFonts w:ascii="TyponineSans Reg" w:hAnsi="TyponineSans Reg"/>
          <w:bCs/>
          <w:szCs w:val="22"/>
        </w:rPr>
        <w:t>%</w:t>
      </w:r>
      <w:r w:rsidR="00BE038A" w:rsidRPr="00457CBC">
        <w:rPr>
          <w:rFonts w:ascii="TyponineSans Reg" w:hAnsi="TyponineSans Reg"/>
          <w:bCs/>
          <w:szCs w:val="22"/>
        </w:rPr>
        <w:t xml:space="preserve"> u 2024. godini</w:t>
      </w:r>
      <w:r w:rsidRPr="00457CBC">
        <w:rPr>
          <w:rFonts w:ascii="TyponineSans Reg" w:hAnsi="TyponineSans Reg"/>
          <w:bCs/>
          <w:szCs w:val="22"/>
        </w:rPr>
        <w:t>.</w:t>
      </w:r>
    </w:p>
    <w:p w14:paraId="79A31ABF" w14:textId="77777777" w:rsidR="00697490" w:rsidRPr="00457CBC" w:rsidRDefault="00697490" w:rsidP="00697490">
      <w:pPr>
        <w:jc w:val="both"/>
        <w:rPr>
          <w:rFonts w:ascii="TyponineSans Reg" w:hAnsi="TyponineSans Reg"/>
          <w:b/>
          <w:szCs w:val="22"/>
        </w:rPr>
      </w:pPr>
    </w:p>
    <w:p w14:paraId="01460468" w14:textId="77777777" w:rsidR="00697490" w:rsidRPr="00457CBC" w:rsidRDefault="00697490" w:rsidP="00697490">
      <w:pPr>
        <w:jc w:val="both"/>
        <w:rPr>
          <w:rFonts w:ascii="TyponineSans Reg" w:hAnsi="TyponineSans Reg"/>
          <w:b/>
          <w:sz w:val="24"/>
          <w:szCs w:val="24"/>
        </w:rPr>
      </w:pPr>
      <w:r w:rsidRPr="00457CBC">
        <w:rPr>
          <w:rFonts w:ascii="TyponineSans Reg" w:hAnsi="TyponineSans Reg"/>
          <w:b/>
          <w:sz w:val="24"/>
          <w:szCs w:val="24"/>
        </w:rPr>
        <w:t>Šifra 68</w:t>
      </w:r>
    </w:p>
    <w:p w14:paraId="7623B65C" w14:textId="77777777" w:rsidR="00697490" w:rsidRPr="00457CBC" w:rsidRDefault="00697490" w:rsidP="00697490">
      <w:pPr>
        <w:jc w:val="both"/>
        <w:rPr>
          <w:rFonts w:ascii="TyponineSans Reg" w:hAnsi="TyponineSans Reg"/>
          <w:b/>
          <w:sz w:val="24"/>
          <w:szCs w:val="24"/>
        </w:rPr>
      </w:pPr>
      <w:r w:rsidRPr="00457CBC">
        <w:rPr>
          <w:rFonts w:ascii="TyponineSans Reg" w:hAnsi="TyponineSans Reg"/>
          <w:b/>
          <w:sz w:val="24"/>
          <w:szCs w:val="24"/>
        </w:rPr>
        <w:t>Ostali prihodi</w:t>
      </w:r>
    </w:p>
    <w:p w14:paraId="5317EA8C" w14:textId="77777777" w:rsidR="00697490" w:rsidRPr="00457CBC" w:rsidRDefault="00697490" w:rsidP="00697490">
      <w:pPr>
        <w:jc w:val="both"/>
        <w:rPr>
          <w:rFonts w:ascii="TyponineSans Reg" w:hAnsi="TyponineSans Reg"/>
          <w:b/>
          <w:szCs w:val="22"/>
        </w:rPr>
      </w:pPr>
    </w:p>
    <w:p w14:paraId="6CD0F3DA" w14:textId="03A2120A" w:rsidR="00AF57AE" w:rsidRPr="00457CBC" w:rsidRDefault="00697490" w:rsidP="00697490">
      <w:pPr>
        <w:jc w:val="both"/>
        <w:rPr>
          <w:rFonts w:ascii="TyponineSans Reg" w:hAnsi="TyponineSans Reg"/>
          <w:bCs/>
          <w:szCs w:val="22"/>
        </w:rPr>
      </w:pPr>
      <w:r w:rsidRPr="00457CBC">
        <w:rPr>
          <w:rFonts w:ascii="TyponineSans Reg" w:hAnsi="TyponineSans Reg"/>
          <w:bCs/>
          <w:szCs w:val="22"/>
        </w:rPr>
        <w:t xml:space="preserve">Ostali prihodi ostvareni su u iznosu </w:t>
      </w:r>
      <w:r w:rsidR="00622C07" w:rsidRPr="00457CBC">
        <w:rPr>
          <w:rFonts w:ascii="TyponineSans Reg" w:hAnsi="TyponineSans Reg"/>
          <w:bCs/>
          <w:szCs w:val="22"/>
        </w:rPr>
        <w:t>29.445,05</w:t>
      </w:r>
      <w:r w:rsidRPr="00457CBC">
        <w:rPr>
          <w:rFonts w:ascii="TyponineSans Reg" w:hAnsi="TyponineSans Reg"/>
          <w:bCs/>
          <w:szCs w:val="22"/>
        </w:rPr>
        <w:t xml:space="preserve"> </w:t>
      </w:r>
      <w:r w:rsidR="00C87716" w:rsidRPr="00457CBC">
        <w:rPr>
          <w:rFonts w:ascii="TyponineSans Reg" w:hAnsi="TyponineSans Reg"/>
          <w:bCs/>
          <w:szCs w:val="22"/>
        </w:rPr>
        <w:t>EUR</w:t>
      </w:r>
      <w:r w:rsidRPr="00457CBC">
        <w:rPr>
          <w:rFonts w:ascii="TyponineSans Reg" w:hAnsi="TyponineSans Reg"/>
          <w:bCs/>
          <w:szCs w:val="22"/>
        </w:rPr>
        <w:t xml:space="preserve"> </w:t>
      </w:r>
      <w:r w:rsidR="00622C07" w:rsidRPr="00457CBC">
        <w:rPr>
          <w:rFonts w:ascii="TyponineSans Reg" w:hAnsi="TyponineSans Reg"/>
          <w:bCs/>
          <w:szCs w:val="22"/>
        </w:rPr>
        <w:t>i</w:t>
      </w:r>
      <w:r w:rsidRPr="00457CBC">
        <w:rPr>
          <w:rFonts w:ascii="TyponineSans Reg" w:hAnsi="TyponineSans Reg"/>
          <w:bCs/>
          <w:szCs w:val="22"/>
        </w:rPr>
        <w:t xml:space="preserve"> odnose na naplatu mandatnih kazni u iznosu </w:t>
      </w:r>
      <w:r w:rsidR="00622C07" w:rsidRPr="00457CBC">
        <w:rPr>
          <w:rFonts w:ascii="TyponineSans Reg" w:hAnsi="TyponineSans Reg"/>
          <w:bCs/>
          <w:szCs w:val="22"/>
        </w:rPr>
        <w:t>18.149,77</w:t>
      </w:r>
      <w:r w:rsidRPr="00457CBC">
        <w:rPr>
          <w:rFonts w:ascii="TyponineSans Reg" w:hAnsi="TyponineSans Reg"/>
          <w:bCs/>
          <w:szCs w:val="22"/>
        </w:rPr>
        <w:t xml:space="preserve"> </w:t>
      </w:r>
      <w:r w:rsidR="00C87716" w:rsidRPr="00457CBC">
        <w:rPr>
          <w:rFonts w:ascii="TyponineSans Reg" w:hAnsi="TyponineSans Reg"/>
          <w:bCs/>
          <w:szCs w:val="22"/>
        </w:rPr>
        <w:t>EUR</w:t>
      </w:r>
      <w:r w:rsidRPr="00457CBC">
        <w:rPr>
          <w:rFonts w:ascii="TyponineSans Reg" w:hAnsi="TyponineSans Reg"/>
          <w:bCs/>
          <w:szCs w:val="22"/>
        </w:rPr>
        <w:t xml:space="preserve"> te ostal</w:t>
      </w:r>
      <w:r w:rsidR="009B163E" w:rsidRPr="00457CBC">
        <w:rPr>
          <w:rFonts w:ascii="TyponineSans Reg" w:hAnsi="TyponineSans Reg"/>
          <w:bCs/>
          <w:szCs w:val="22"/>
        </w:rPr>
        <w:t>e</w:t>
      </w:r>
      <w:r w:rsidRPr="00457CBC">
        <w:rPr>
          <w:rFonts w:ascii="TyponineSans Reg" w:hAnsi="TyponineSans Reg"/>
          <w:bCs/>
          <w:szCs w:val="22"/>
        </w:rPr>
        <w:t xml:space="preserve"> nespomenut</w:t>
      </w:r>
      <w:r w:rsidR="009B163E" w:rsidRPr="00457CBC">
        <w:rPr>
          <w:rFonts w:ascii="TyponineSans Reg" w:hAnsi="TyponineSans Reg"/>
          <w:bCs/>
          <w:szCs w:val="22"/>
        </w:rPr>
        <w:t>e</w:t>
      </w:r>
      <w:r w:rsidRPr="00457CBC">
        <w:rPr>
          <w:rFonts w:ascii="TyponineSans Reg" w:hAnsi="TyponineSans Reg"/>
          <w:bCs/>
          <w:szCs w:val="22"/>
        </w:rPr>
        <w:t xml:space="preserve"> prihod</w:t>
      </w:r>
      <w:r w:rsidR="009B163E" w:rsidRPr="00457CBC">
        <w:rPr>
          <w:rFonts w:ascii="TyponineSans Reg" w:hAnsi="TyponineSans Reg"/>
          <w:bCs/>
          <w:szCs w:val="22"/>
        </w:rPr>
        <w:t>e</w:t>
      </w:r>
      <w:r w:rsidRPr="00457CBC">
        <w:rPr>
          <w:rFonts w:ascii="TyponineSans Reg" w:hAnsi="TyponineSans Reg"/>
          <w:bCs/>
          <w:szCs w:val="22"/>
        </w:rPr>
        <w:t xml:space="preserve">  u iznosu </w:t>
      </w:r>
      <w:r w:rsidR="009B163E" w:rsidRPr="00457CBC">
        <w:rPr>
          <w:rFonts w:ascii="TyponineSans Reg" w:hAnsi="TyponineSans Reg"/>
          <w:bCs/>
          <w:szCs w:val="22"/>
        </w:rPr>
        <w:t>11.295,28</w:t>
      </w:r>
      <w:r w:rsidRPr="00457CBC">
        <w:rPr>
          <w:rFonts w:ascii="TyponineSans Reg" w:hAnsi="TyponineSans Reg"/>
          <w:bCs/>
          <w:szCs w:val="22"/>
        </w:rPr>
        <w:t xml:space="preserve"> </w:t>
      </w:r>
      <w:r w:rsidR="00C87716" w:rsidRPr="00457CBC">
        <w:rPr>
          <w:rFonts w:ascii="TyponineSans Reg" w:hAnsi="TyponineSans Reg"/>
          <w:bCs/>
          <w:szCs w:val="22"/>
        </w:rPr>
        <w:t>EUR</w:t>
      </w:r>
      <w:r w:rsidR="00136B43" w:rsidRPr="00457CBC">
        <w:rPr>
          <w:rFonts w:ascii="TyponineSans Reg" w:hAnsi="TyponineSans Reg"/>
          <w:bCs/>
          <w:szCs w:val="22"/>
        </w:rPr>
        <w:t xml:space="preserve">, inventurni viškovi prema godišnjoj inventuri, naplata obustave manjka zaposlenika, isplata dividende </w:t>
      </w:r>
      <w:r w:rsidR="004655FE" w:rsidRPr="00457CBC">
        <w:rPr>
          <w:rFonts w:ascii="TyponineSans Reg" w:hAnsi="TyponineSans Reg"/>
          <w:bCs/>
          <w:szCs w:val="22"/>
        </w:rPr>
        <w:t>i ostali prihodi</w:t>
      </w:r>
      <w:r w:rsidR="005D314C" w:rsidRPr="00457CBC">
        <w:rPr>
          <w:rFonts w:ascii="TyponineSans Reg" w:hAnsi="TyponineSans Reg"/>
          <w:bCs/>
          <w:szCs w:val="22"/>
        </w:rPr>
        <w:t>.</w:t>
      </w:r>
    </w:p>
    <w:p w14:paraId="44774A1D" w14:textId="342BA3E9" w:rsidR="00697490" w:rsidRDefault="00697490" w:rsidP="00697490">
      <w:pPr>
        <w:jc w:val="both"/>
        <w:rPr>
          <w:rFonts w:ascii="TyponineSans Reg" w:hAnsi="TyponineSans Reg"/>
          <w:bCs/>
          <w:szCs w:val="22"/>
        </w:rPr>
      </w:pPr>
    </w:p>
    <w:p w14:paraId="5979E044" w14:textId="77777777" w:rsidR="00A556AF" w:rsidRDefault="00A556AF" w:rsidP="00697490">
      <w:pPr>
        <w:jc w:val="both"/>
        <w:rPr>
          <w:rFonts w:ascii="TyponineSans Reg" w:hAnsi="TyponineSans Reg"/>
          <w:bCs/>
          <w:szCs w:val="22"/>
        </w:rPr>
      </w:pPr>
    </w:p>
    <w:p w14:paraId="3AF2F250" w14:textId="77777777" w:rsidR="00A556AF" w:rsidRPr="00457CBC" w:rsidRDefault="00A556AF" w:rsidP="00697490">
      <w:pPr>
        <w:jc w:val="both"/>
        <w:rPr>
          <w:rFonts w:ascii="TyponineSans Reg" w:hAnsi="TyponineSans Reg"/>
          <w:bCs/>
          <w:szCs w:val="22"/>
        </w:rPr>
      </w:pPr>
    </w:p>
    <w:p w14:paraId="788BCD98" w14:textId="33C92D66" w:rsidR="00697490" w:rsidRPr="00457CBC" w:rsidRDefault="00697490" w:rsidP="00697490">
      <w:pPr>
        <w:jc w:val="both"/>
        <w:rPr>
          <w:rFonts w:ascii="TyponineSans Reg" w:hAnsi="TyponineSans Reg"/>
          <w:bCs/>
          <w:szCs w:val="22"/>
        </w:rPr>
      </w:pPr>
      <w:r w:rsidRPr="00457CBC">
        <w:rPr>
          <w:rFonts w:ascii="TyponineSans Reg" w:hAnsi="TyponineSans Reg"/>
          <w:b/>
          <w:sz w:val="24"/>
          <w:szCs w:val="24"/>
        </w:rPr>
        <w:t xml:space="preserve">Bilješka br. </w:t>
      </w:r>
      <w:r w:rsidR="00D6355E">
        <w:rPr>
          <w:rFonts w:ascii="TyponineSans Reg" w:hAnsi="TyponineSans Reg"/>
          <w:b/>
          <w:sz w:val="24"/>
          <w:szCs w:val="24"/>
        </w:rPr>
        <w:t>1</w:t>
      </w:r>
      <w:r w:rsidRPr="00457CBC">
        <w:rPr>
          <w:rFonts w:ascii="TyponineSans Reg" w:hAnsi="TyponineSans Reg"/>
          <w:b/>
          <w:sz w:val="24"/>
          <w:szCs w:val="24"/>
        </w:rPr>
        <w:t>.2.  -  Rashodi poslovanja</w:t>
      </w:r>
    </w:p>
    <w:p w14:paraId="265B2F90" w14:textId="77777777" w:rsidR="00697490" w:rsidRPr="00457CBC" w:rsidRDefault="00697490" w:rsidP="00697490">
      <w:pPr>
        <w:jc w:val="both"/>
        <w:rPr>
          <w:rFonts w:ascii="TyponineSans Reg" w:hAnsi="TyponineSans Reg"/>
          <w:b/>
          <w:szCs w:val="22"/>
        </w:rPr>
      </w:pPr>
    </w:p>
    <w:p w14:paraId="133C7E28" w14:textId="5864F4DF" w:rsidR="00697490" w:rsidRPr="00457CBC" w:rsidRDefault="00697490" w:rsidP="00697490">
      <w:pPr>
        <w:jc w:val="both"/>
        <w:rPr>
          <w:rFonts w:ascii="TyponineSans Reg" w:hAnsi="TyponineSans Reg"/>
          <w:szCs w:val="22"/>
        </w:rPr>
      </w:pPr>
      <w:r w:rsidRPr="00457CBC">
        <w:rPr>
          <w:rFonts w:ascii="TyponineSans Reg" w:hAnsi="TyponineSans Reg"/>
          <w:szCs w:val="22"/>
        </w:rPr>
        <w:t>Za razliku od prihoda poslovanja, a sukladno odredbama Pravilnika o proračunskom računovodstvu i Računskom planu, rashodi poslovanja priznati su temeljem nastanka poslovnog događaja</w:t>
      </w:r>
      <w:r w:rsidR="00F87659" w:rsidRPr="00457CBC">
        <w:rPr>
          <w:rFonts w:ascii="TyponineSans Reg" w:hAnsi="TyponineSans Reg"/>
          <w:szCs w:val="22"/>
        </w:rPr>
        <w:t xml:space="preserve">, </w:t>
      </w:r>
      <w:r w:rsidRPr="00457CBC">
        <w:rPr>
          <w:rFonts w:ascii="TyponineSans Reg" w:hAnsi="TyponineSans Reg"/>
          <w:szCs w:val="22"/>
        </w:rPr>
        <w:t xml:space="preserve"> neovisno o plaćanju.</w:t>
      </w:r>
    </w:p>
    <w:p w14:paraId="12C08C04" w14:textId="77777777" w:rsidR="00697490" w:rsidRPr="00457CBC" w:rsidRDefault="00697490" w:rsidP="00697490">
      <w:pPr>
        <w:jc w:val="both"/>
        <w:rPr>
          <w:rFonts w:ascii="TyponineSans Reg" w:hAnsi="TyponineSans Reg"/>
          <w:b/>
          <w:szCs w:val="22"/>
        </w:rPr>
      </w:pPr>
    </w:p>
    <w:p w14:paraId="7FC833DD" w14:textId="23F8B859" w:rsidR="00697490" w:rsidRPr="00457CBC" w:rsidRDefault="00697490" w:rsidP="00697490">
      <w:pPr>
        <w:jc w:val="both"/>
        <w:rPr>
          <w:rFonts w:ascii="TyponineSans Reg" w:hAnsi="TyponineSans Reg" w:cs="Calibri"/>
          <w:szCs w:val="22"/>
        </w:rPr>
      </w:pPr>
      <w:r w:rsidRPr="00457CBC">
        <w:rPr>
          <w:rFonts w:ascii="TyponineSans Reg" w:hAnsi="TyponineSans Reg" w:cs="Calibri"/>
          <w:szCs w:val="22"/>
        </w:rPr>
        <w:t>Ustanova je u razdoblju od siječanja do prosinca 202</w:t>
      </w:r>
      <w:r w:rsidR="002C371E" w:rsidRPr="00457CBC">
        <w:rPr>
          <w:rFonts w:ascii="TyponineSans Reg" w:hAnsi="TyponineSans Reg" w:cs="Calibri"/>
          <w:szCs w:val="22"/>
        </w:rPr>
        <w:t>4</w:t>
      </w:r>
      <w:r w:rsidRPr="00457CBC">
        <w:rPr>
          <w:rFonts w:ascii="TyponineSans Reg" w:hAnsi="TyponineSans Reg" w:cs="Calibri"/>
          <w:szCs w:val="22"/>
        </w:rPr>
        <w:t xml:space="preserve">. godini ostvarila ukupne rashode u iznosu </w:t>
      </w:r>
      <w:r w:rsidR="00FE3CEA" w:rsidRPr="00457CBC">
        <w:rPr>
          <w:rFonts w:ascii="TyponineSans Reg" w:hAnsi="TyponineSans Reg" w:cs="Calibri"/>
          <w:szCs w:val="22"/>
        </w:rPr>
        <w:t>13.841.509,54</w:t>
      </w:r>
      <w:r w:rsidRPr="00457CBC">
        <w:rPr>
          <w:rFonts w:ascii="TyponineSans Reg" w:hAnsi="TyponineSans Reg" w:cs="Calibri"/>
          <w:szCs w:val="22"/>
        </w:rPr>
        <w:t xml:space="preserve"> </w:t>
      </w:r>
      <w:r w:rsidR="00C87716" w:rsidRPr="00457CBC">
        <w:rPr>
          <w:rFonts w:ascii="TyponineSans Reg" w:hAnsi="TyponineSans Reg" w:cs="Calibri"/>
          <w:szCs w:val="22"/>
        </w:rPr>
        <w:t>EUR</w:t>
      </w:r>
      <w:r w:rsidRPr="00457CBC">
        <w:rPr>
          <w:rFonts w:ascii="TyponineSans Reg" w:hAnsi="TyponineSans Reg" w:cs="Calibri"/>
          <w:szCs w:val="22"/>
        </w:rPr>
        <w:t xml:space="preserve"> koje čine rashodi poslovanja u iznosu </w:t>
      </w:r>
      <w:r w:rsidR="00FE3CEA" w:rsidRPr="00457CBC">
        <w:rPr>
          <w:rFonts w:ascii="TyponineSans Reg" w:hAnsi="TyponineSans Reg" w:cs="Calibri"/>
          <w:szCs w:val="22"/>
        </w:rPr>
        <w:t>13.508.711,19</w:t>
      </w:r>
      <w:r w:rsidRPr="00457CBC">
        <w:rPr>
          <w:rFonts w:ascii="TyponineSans Reg" w:hAnsi="TyponineSans Reg" w:cs="Calibri"/>
          <w:szCs w:val="22"/>
        </w:rPr>
        <w:t xml:space="preserve"> </w:t>
      </w:r>
      <w:r w:rsidR="00C87716" w:rsidRPr="00457CBC">
        <w:rPr>
          <w:rFonts w:ascii="TyponineSans Reg" w:hAnsi="TyponineSans Reg" w:cs="Calibri"/>
          <w:szCs w:val="22"/>
        </w:rPr>
        <w:t>EUR</w:t>
      </w:r>
      <w:r w:rsidRPr="00457CBC">
        <w:rPr>
          <w:rFonts w:ascii="TyponineSans Reg" w:hAnsi="TyponineSans Reg" w:cs="Calibri"/>
          <w:szCs w:val="22"/>
        </w:rPr>
        <w:t xml:space="preserve"> te rashodi za nabavu nefinancijske imovine u iznosu </w:t>
      </w:r>
      <w:r w:rsidR="00FE3CEA" w:rsidRPr="00457CBC">
        <w:rPr>
          <w:rFonts w:ascii="TyponineSans Reg" w:hAnsi="TyponineSans Reg" w:cs="Calibri"/>
          <w:szCs w:val="22"/>
        </w:rPr>
        <w:t>332.798,35</w:t>
      </w:r>
      <w:r w:rsidRPr="00457CBC">
        <w:rPr>
          <w:rFonts w:ascii="TyponineSans Reg" w:hAnsi="TyponineSans Reg" w:cs="Calibri"/>
          <w:szCs w:val="22"/>
        </w:rPr>
        <w:t xml:space="preserve"> </w:t>
      </w:r>
      <w:r w:rsidR="00C87716" w:rsidRPr="00457CBC">
        <w:rPr>
          <w:rFonts w:ascii="TyponineSans Reg" w:hAnsi="TyponineSans Reg" w:cs="Calibri"/>
          <w:szCs w:val="22"/>
        </w:rPr>
        <w:t>EUR</w:t>
      </w:r>
      <w:r w:rsidRPr="00457CBC">
        <w:rPr>
          <w:rFonts w:ascii="TyponineSans Reg" w:hAnsi="TyponineSans Reg" w:cs="Calibri"/>
          <w:szCs w:val="22"/>
        </w:rPr>
        <w:t>. Ostvareni ukupni rashodi viši su u odnosu na ostvarene u 202</w:t>
      </w:r>
      <w:r w:rsidR="00FE3CEA" w:rsidRPr="00457CBC">
        <w:rPr>
          <w:rFonts w:ascii="TyponineSans Reg" w:hAnsi="TyponineSans Reg" w:cs="Calibri"/>
          <w:szCs w:val="22"/>
        </w:rPr>
        <w:t>3</w:t>
      </w:r>
      <w:r w:rsidRPr="00457CBC">
        <w:rPr>
          <w:rFonts w:ascii="TyponineSans Reg" w:hAnsi="TyponineSans Reg" w:cs="Calibri"/>
          <w:szCs w:val="22"/>
        </w:rPr>
        <w:t xml:space="preserve">. godini za </w:t>
      </w:r>
      <w:r w:rsidR="005D7820" w:rsidRPr="00457CBC">
        <w:rPr>
          <w:rFonts w:ascii="TyponineSans Reg" w:hAnsi="TyponineSans Reg" w:cs="Calibri"/>
          <w:szCs w:val="22"/>
        </w:rPr>
        <w:t>19,63</w:t>
      </w:r>
      <w:r w:rsidRPr="00457CBC">
        <w:rPr>
          <w:rFonts w:ascii="TyponineSans Reg" w:hAnsi="TyponineSans Reg" w:cs="Calibri"/>
          <w:szCs w:val="22"/>
        </w:rPr>
        <w:t xml:space="preserve">% odnosno za </w:t>
      </w:r>
      <w:r w:rsidR="00FE3CEA" w:rsidRPr="00457CBC">
        <w:rPr>
          <w:rFonts w:ascii="TyponineSans Reg" w:hAnsi="TyponineSans Reg" w:cs="Calibri"/>
          <w:szCs w:val="22"/>
        </w:rPr>
        <w:t>2.</w:t>
      </w:r>
      <w:r w:rsidR="005D5BD9" w:rsidRPr="00457CBC">
        <w:rPr>
          <w:rFonts w:ascii="TyponineSans Reg" w:hAnsi="TyponineSans Reg" w:cs="Calibri"/>
          <w:szCs w:val="22"/>
        </w:rPr>
        <w:t>549.030,19</w:t>
      </w:r>
      <w:r w:rsidRPr="00457CBC">
        <w:rPr>
          <w:rFonts w:ascii="TyponineSans Reg" w:hAnsi="TyponineSans Reg" w:cs="Calibri"/>
          <w:szCs w:val="22"/>
        </w:rPr>
        <w:t xml:space="preserve"> </w:t>
      </w:r>
      <w:r w:rsidR="00C87716" w:rsidRPr="00457CBC">
        <w:rPr>
          <w:rFonts w:ascii="TyponineSans Reg" w:hAnsi="TyponineSans Reg" w:cs="Calibri"/>
          <w:szCs w:val="22"/>
        </w:rPr>
        <w:t>EUR</w:t>
      </w:r>
      <w:r w:rsidRPr="00457CBC">
        <w:rPr>
          <w:rFonts w:ascii="TyponineSans Reg" w:hAnsi="TyponineSans Reg" w:cs="Calibri"/>
          <w:szCs w:val="22"/>
        </w:rPr>
        <w:t xml:space="preserve">. Rashodi poslovanja </w:t>
      </w:r>
      <w:r w:rsidR="00FE3CEA" w:rsidRPr="00457CBC">
        <w:rPr>
          <w:rFonts w:ascii="TyponineSans Reg" w:hAnsi="TyponineSans Reg" w:cs="Calibri"/>
          <w:szCs w:val="22"/>
        </w:rPr>
        <w:t>bilježe porast</w:t>
      </w:r>
      <w:r w:rsidRPr="00457CBC">
        <w:rPr>
          <w:rFonts w:ascii="TyponineSans Reg" w:hAnsi="TyponineSans Reg" w:cs="Calibri"/>
          <w:szCs w:val="22"/>
        </w:rPr>
        <w:t xml:space="preserve"> u odnosu na ostvaren</w:t>
      </w:r>
      <w:r w:rsidR="00FE3CEA" w:rsidRPr="00457CBC">
        <w:rPr>
          <w:rFonts w:ascii="TyponineSans Reg" w:hAnsi="TyponineSans Reg" w:cs="Calibri"/>
          <w:szCs w:val="22"/>
        </w:rPr>
        <w:t xml:space="preserve">o tijekom </w:t>
      </w:r>
      <w:r w:rsidRPr="00457CBC">
        <w:rPr>
          <w:rFonts w:ascii="TyponineSans Reg" w:hAnsi="TyponineSans Reg" w:cs="Calibri"/>
          <w:szCs w:val="22"/>
        </w:rPr>
        <w:t>202</w:t>
      </w:r>
      <w:r w:rsidR="00FE3CEA" w:rsidRPr="00457CBC">
        <w:rPr>
          <w:rFonts w:ascii="TyponineSans Reg" w:hAnsi="TyponineSans Reg" w:cs="Calibri"/>
          <w:szCs w:val="22"/>
        </w:rPr>
        <w:t>3</w:t>
      </w:r>
      <w:r w:rsidRPr="00457CBC">
        <w:rPr>
          <w:rFonts w:ascii="TyponineSans Reg" w:hAnsi="TyponineSans Reg" w:cs="Calibri"/>
          <w:szCs w:val="22"/>
        </w:rPr>
        <w:t xml:space="preserve">. godine za </w:t>
      </w:r>
      <w:r w:rsidR="00FE3CEA" w:rsidRPr="00457CBC">
        <w:rPr>
          <w:rFonts w:ascii="TyponineSans Reg" w:hAnsi="TyponineSans Reg" w:cs="Calibri"/>
          <w:szCs w:val="22"/>
        </w:rPr>
        <w:t>23,90</w:t>
      </w:r>
      <w:r w:rsidRPr="00457CBC">
        <w:rPr>
          <w:rFonts w:ascii="TyponineSans Reg" w:hAnsi="TyponineSans Reg" w:cs="Calibri"/>
          <w:szCs w:val="22"/>
        </w:rPr>
        <w:t xml:space="preserve">% odnosno za </w:t>
      </w:r>
      <w:r w:rsidR="005D5BD9" w:rsidRPr="00457CBC">
        <w:rPr>
          <w:rFonts w:ascii="TyponineSans Reg" w:hAnsi="TyponineSans Reg" w:cs="Calibri"/>
          <w:szCs w:val="22"/>
        </w:rPr>
        <w:t>2.605.867,32</w:t>
      </w:r>
      <w:r w:rsidRPr="00457CBC">
        <w:rPr>
          <w:rFonts w:ascii="TyponineSans Reg" w:hAnsi="TyponineSans Reg" w:cs="Calibri"/>
          <w:szCs w:val="22"/>
        </w:rPr>
        <w:t xml:space="preserve"> </w:t>
      </w:r>
      <w:r w:rsidR="00C87716" w:rsidRPr="00457CBC">
        <w:rPr>
          <w:rFonts w:ascii="TyponineSans Reg" w:hAnsi="TyponineSans Reg" w:cs="Calibri"/>
          <w:szCs w:val="22"/>
        </w:rPr>
        <w:t>EUR</w:t>
      </w:r>
      <w:r w:rsidRPr="00457CBC">
        <w:rPr>
          <w:rFonts w:ascii="TyponineSans Reg" w:hAnsi="TyponineSans Reg" w:cs="Calibri"/>
          <w:szCs w:val="22"/>
        </w:rPr>
        <w:t>.</w:t>
      </w:r>
    </w:p>
    <w:p w14:paraId="3E7AB140" w14:textId="59E61750" w:rsidR="00697490" w:rsidRDefault="00697490" w:rsidP="00697490">
      <w:pPr>
        <w:jc w:val="both"/>
        <w:rPr>
          <w:rFonts w:ascii="TyponineSans Reg" w:hAnsi="TyponineSans Reg" w:cs="Calibri"/>
          <w:szCs w:val="22"/>
        </w:rPr>
      </w:pPr>
      <w:r w:rsidRPr="00457CBC">
        <w:rPr>
          <w:rFonts w:ascii="TyponineSans Reg" w:hAnsi="TyponineSans Reg" w:cs="Calibri"/>
          <w:szCs w:val="22"/>
        </w:rPr>
        <w:t>Rashodi za nabavu nefinancijske imovine manji su u odnosu na ostvareno u 202</w:t>
      </w:r>
      <w:r w:rsidR="005D5BD9" w:rsidRPr="00457CBC">
        <w:rPr>
          <w:rFonts w:ascii="TyponineSans Reg" w:hAnsi="TyponineSans Reg" w:cs="Calibri"/>
          <w:szCs w:val="22"/>
        </w:rPr>
        <w:t>3</w:t>
      </w:r>
      <w:r w:rsidRPr="00457CBC">
        <w:rPr>
          <w:rFonts w:ascii="TyponineSans Reg" w:hAnsi="TyponineSans Reg" w:cs="Calibri"/>
          <w:szCs w:val="22"/>
        </w:rPr>
        <w:t xml:space="preserve">. godini za </w:t>
      </w:r>
      <w:r w:rsidR="005D5BD9" w:rsidRPr="00457CBC">
        <w:rPr>
          <w:rFonts w:ascii="TyponineSans Reg" w:hAnsi="TyponineSans Reg" w:cs="Calibri"/>
          <w:szCs w:val="22"/>
        </w:rPr>
        <w:t>14.59</w:t>
      </w:r>
      <w:r w:rsidRPr="00457CBC">
        <w:rPr>
          <w:rFonts w:ascii="TyponineSans Reg" w:hAnsi="TyponineSans Reg" w:cs="Calibri"/>
          <w:szCs w:val="22"/>
        </w:rPr>
        <w:t xml:space="preserve">% odnosno </w:t>
      </w:r>
      <w:r w:rsidR="005D5BD9" w:rsidRPr="00457CBC">
        <w:rPr>
          <w:rFonts w:ascii="TyponineSans Reg" w:hAnsi="TyponineSans Reg" w:cs="Calibri"/>
          <w:szCs w:val="22"/>
        </w:rPr>
        <w:t>56.837,13</w:t>
      </w:r>
      <w:r w:rsidR="0051564A" w:rsidRPr="00457CBC">
        <w:rPr>
          <w:rFonts w:ascii="TyponineSans Reg" w:hAnsi="TyponineSans Reg" w:cs="Calibri"/>
          <w:szCs w:val="22"/>
        </w:rPr>
        <w:t xml:space="preserve"> </w:t>
      </w:r>
      <w:r w:rsidR="00C87716" w:rsidRPr="00457CBC">
        <w:rPr>
          <w:rFonts w:ascii="TyponineSans Reg" w:hAnsi="TyponineSans Reg" w:cs="Calibri"/>
          <w:szCs w:val="22"/>
        </w:rPr>
        <w:t>EUR</w:t>
      </w:r>
      <w:r w:rsidRPr="00457CBC">
        <w:rPr>
          <w:rFonts w:ascii="TyponineSans Reg" w:hAnsi="TyponineSans Reg" w:cs="Calibri"/>
          <w:szCs w:val="22"/>
        </w:rPr>
        <w:t xml:space="preserve">. </w:t>
      </w:r>
    </w:p>
    <w:p w14:paraId="556EDA95" w14:textId="77777777" w:rsidR="00A556AF" w:rsidRDefault="00A556AF" w:rsidP="00697490">
      <w:pPr>
        <w:jc w:val="both"/>
        <w:rPr>
          <w:rFonts w:ascii="TyponineSans Reg" w:hAnsi="TyponineSans Reg" w:cs="Calibri"/>
          <w:szCs w:val="22"/>
        </w:rPr>
      </w:pPr>
    </w:p>
    <w:p w14:paraId="4151D6E1" w14:textId="77777777" w:rsidR="00A556AF" w:rsidRDefault="00A556AF" w:rsidP="00697490">
      <w:pPr>
        <w:jc w:val="both"/>
        <w:rPr>
          <w:rFonts w:ascii="TyponineSans Reg" w:hAnsi="TyponineSans Reg" w:cs="Calibri"/>
          <w:szCs w:val="22"/>
        </w:rPr>
      </w:pPr>
    </w:p>
    <w:p w14:paraId="3F93F7D0" w14:textId="77777777" w:rsidR="00A556AF" w:rsidRDefault="00A556AF" w:rsidP="00697490">
      <w:pPr>
        <w:jc w:val="both"/>
        <w:rPr>
          <w:rFonts w:ascii="TyponineSans Reg" w:hAnsi="TyponineSans Reg" w:cs="Calibri"/>
          <w:szCs w:val="22"/>
        </w:rPr>
      </w:pPr>
    </w:p>
    <w:p w14:paraId="7493BEC2" w14:textId="7C89DC1B" w:rsidR="00A556AF" w:rsidRDefault="00A556AF" w:rsidP="00697490">
      <w:pPr>
        <w:jc w:val="both"/>
        <w:rPr>
          <w:rFonts w:ascii="TyponineSans Reg" w:hAnsi="TyponineSans Reg" w:cs="Calibri"/>
          <w:szCs w:val="22"/>
        </w:rPr>
      </w:pPr>
    </w:p>
    <w:p w14:paraId="4FCDFB28" w14:textId="2C291768" w:rsidR="002873F0" w:rsidRDefault="002873F0" w:rsidP="00697490">
      <w:pPr>
        <w:jc w:val="both"/>
        <w:rPr>
          <w:rFonts w:ascii="TyponineSans Reg" w:hAnsi="TyponineSans Reg" w:cs="Calibri"/>
          <w:szCs w:val="22"/>
        </w:rPr>
      </w:pPr>
    </w:p>
    <w:p w14:paraId="3F73BD82" w14:textId="5639FE11" w:rsidR="002873F0" w:rsidRDefault="002873F0" w:rsidP="00697490">
      <w:pPr>
        <w:jc w:val="both"/>
        <w:rPr>
          <w:rFonts w:ascii="TyponineSans Reg" w:hAnsi="TyponineSans Reg" w:cs="Calibri"/>
          <w:szCs w:val="22"/>
        </w:rPr>
      </w:pPr>
    </w:p>
    <w:p w14:paraId="045EEE0C" w14:textId="77777777" w:rsidR="004516D2" w:rsidRDefault="004516D2" w:rsidP="00697490">
      <w:pPr>
        <w:jc w:val="both"/>
        <w:rPr>
          <w:rFonts w:ascii="TyponineSans Reg" w:hAnsi="TyponineSans Reg" w:cs="Calibri"/>
          <w:szCs w:val="22"/>
        </w:rPr>
      </w:pPr>
    </w:p>
    <w:p w14:paraId="09D4A3DA" w14:textId="3D9E9539" w:rsidR="002873F0" w:rsidRDefault="002873F0" w:rsidP="00697490">
      <w:pPr>
        <w:jc w:val="both"/>
        <w:rPr>
          <w:rFonts w:ascii="TyponineSans Reg" w:hAnsi="TyponineSans Reg" w:cs="Calibri"/>
          <w:szCs w:val="22"/>
        </w:rPr>
      </w:pPr>
    </w:p>
    <w:p w14:paraId="07CF79F0" w14:textId="3D859194" w:rsidR="002873F0" w:rsidRDefault="002873F0" w:rsidP="00697490">
      <w:pPr>
        <w:jc w:val="both"/>
        <w:rPr>
          <w:rFonts w:ascii="TyponineSans Reg" w:hAnsi="TyponineSans Reg" w:cs="Calibri"/>
          <w:szCs w:val="22"/>
        </w:rPr>
      </w:pPr>
    </w:p>
    <w:p w14:paraId="482EA6BE" w14:textId="77777777" w:rsidR="002873F0" w:rsidRDefault="002873F0" w:rsidP="00697490">
      <w:pPr>
        <w:jc w:val="both"/>
        <w:rPr>
          <w:rFonts w:ascii="TyponineSans Reg" w:hAnsi="TyponineSans Reg" w:cs="Calibri"/>
          <w:szCs w:val="22"/>
        </w:rPr>
      </w:pPr>
    </w:p>
    <w:p w14:paraId="5D56ED3F" w14:textId="77777777" w:rsidR="00A556AF" w:rsidRDefault="00A556AF" w:rsidP="00697490">
      <w:pPr>
        <w:jc w:val="both"/>
        <w:rPr>
          <w:rFonts w:ascii="TyponineSans Reg" w:hAnsi="TyponineSans Reg" w:cs="Calibri"/>
          <w:szCs w:val="22"/>
        </w:rPr>
      </w:pPr>
    </w:p>
    <w:p w14:paraId="0CC3EDBC" w14:textId="77777777" w:rsidR="00A556AF" w:rsidRPr="00457CBC" w:rsidRDefault="00A556AF" w:rsidP="00697490">
      <w:pPr>
        <w:jc w:val="both"/>
        <w:rPr>
          <w:rFonts w:ascii="TyponineSans Reg" w:hAnsi="TyponineSans Reg" w:cs="Calibri"/>
          <w:szCs w:val="22"/>
        </w:rPr>
      </w:pPr>
    </w:p>
    <w:p w14:paraId="03EEC9C8" w14:textId="4A13FDD6" w:rsidR="00697490" w:rsidRPr="00457CBC" w:rsidRDefault="00697490" w:rsidP="00697490">
      <w:pPr>
        <w:jc w:val="both"/>
        <w:rPr>
          <w:rFonts w:ascii="TyponineSans Reg" w:hAnsi="TyponineSans Reg" w:cs="Calibri"/>
          <w:szCs w:val="22"/>
        </w:rPr>
      </w:pPr>
      <w:r w:rsidRPr="00457CBC">
        <w:rPr>
          <w:rFonts w:ascii="TyponineSans Reg" w:hAnsi="TyponineSans Reg" w:cs="Calibri"/>
          <w:szCs w:val="22"/>
        </w:rPr>
        <w:lastRenderedPageBreak/>
        <w:t>Ostvareni rashodi poslovanja sljedeće  su strukture:</w:t>
      </w:r>
    </w:p>
    <w:p w14:paraId="7ABFB5D9" w14:textId="26E69A1B" w:rsidR="00697490" w:rsidRPr="00457CBC" w:rsidRDefault="00697490" w:rsidP="00697490">
      <w:pPr>
        <w:jc w:val="both"/>
        <w:rPr>
          <w:rFonts w:ascii="TyponineSans Reg" w:hAnsi="TyponineSans Reg"/>
          <w:szCs w:val="22"/>
        </w:rPr>
      </w:pPr>
    </w:p>
    <w:p w14:paraId="651EDDE8" w14:textId="3958BD28" w:rsidR="00697490" w:rsidRPr="00FC7FEB" w:rsidRDefault="002C237D" w:rsidP="00697490">
      <w:pPr>
        <w:jc w:val="both"/>
        <w:rPr>
          <w:rFonts w:ascii="TyponineSans Reg" w:hAnsi="TyponineSans Reg"/>
          <w:b/>
          <w:color w:val="FF0000"/>
          <w:sz w:val="24"/>
          <w:szCs w:val="24"/>
        </w:rPr>
      </w:pPr>
      <w:r w:rsidRPr="002C237D">
        <w:drawing>
          <wp:anchor distT="0" distB="0" distL="114300" distR="114300" simplePos="0" relativeHeight="251668480" behindDoc="0" locked="0" layoutInCell="1" allowOverlap="1" wp14:anchorId="681AC885" wp14:editId="11AE7EA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667375" cy="2000250"/>
            <wp:effectExtent l="0" t="0" r="9525" b="0"/>
            <wp:wrapSquare wrapText="bothSides"/>
            <wp:docPr id="20776598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E8A807" w14:textId="77777777" w:rsidR="0083397C" w:rsidRPr="00A556AF" w:rsidRDefault="0083397C" w:rsidP="00697490">
      <w:pPr>
        <w:jc w:val="both"/>
        <w:rPr>
          <w:rFonts w:ascii="TyponineSans Reg" w:hAnsi="TyponineSans Reg"/>
          <w:b/>
          <w:sz w:val="24"/>
          <w:szCs w:val="24"/>
        </w:rPr>
      </w:pPr>
    </w:p>
    <w:p w14:paraId="2EBA6B32" w14:textId="77777777" w:rsidR="004516D2" w:rsidRDefault="004516D2" w:rsidP="00697490">
      <w:pPr>
        <w:jc w:val="both"/>
        <w:rPr>
          <w:rFonts w:ascii="TyponineSans Reg" w:hAnsi="TyponineSans Reg"/>
          <w:b/>
          <w:sz w:val="24"/>
          <w:szCs w:val="24"/>
        </w:rPr>
      </w:pPr>
    </w:p>
    <w:p w14:paraId="1D1A5052" w14:textId="77777777" w:rsidR="004516D2" w:rsidRDefault="004516D2" w:rsidP="00697490">
      <w:pPr>
        <w:jc w:val="both"/>
        <w:rPr>
          <w:rFonts w:ascii="TyponineSans Reg" w:hAnsi="TyponineSans Reg"/>
          <w:b/>
          <w:sz w:val="24"/>
          <w:szCs w:val="24"/>
        </w:rPr>
      </w:pPr>
    </w:p>
    <w:p w14:paraId="23A7AAE1" w14:textId="77777777" w:rsidR="004516D2" w:rsidRDefault="004516D2" w:rsidP="00697490">
      <w:pPr>
        <w:jc w:val="both"/>
        <w:rPr>
          <w:rFonts w:ascii="TyponineSans Reg" w:hAnsi="TyponineSans Reg"/>
          <w:b/>
          <w:sz w:val="24"/>
          <w:szCs w:val="24"/>
        </w:rPr>
      </w:pPr>
    </w:p>
    <w:p w14:paraId="000819F8" w14:textId="77777777" w:rsidR="004516D2" w:rsidRDefault="004516D2" w:rsidP="00697490">
      <w:pPr>
        <w:jc w:val="both"/>
        <w:rPr>
          <w:rFonts w:ascii="TyponineSans Reg" w:hAnsi="TyponineSans Reg"/>
          <w:b/>
          <w:sz w:val="24"/>
          <w:szCs w:val="24"/>
        </w:rPr>
      </w:pPr>
    </w:p>
    <w:p w14:paraId="0C150EC0" w14:textId="77777777" w:rsidR="004516D2" w:rsidRDefault="004516D2" w:rsidP="00697490">
      <w:pPr>
        <w:jc w:val="both"/>
        <w:rPr>
          <w:rFonts w:ascii="TyponineSans Reg" w:hAnsi="TyponineSans Reg"/>
          <w:b/>
          <w:sz w:val="24"/>
          <w:szCs w:val="24"/>
        </w:rPr>
      </w:pPr>
    </w:p>
    <w:p w14:paraId="197F06D1" w14:textId="77777777" w:rsidR="004516D2" w:rsidRDefault="004516D2" w:rsidP="00697490">
      <w:pPr>
        <w:jc w:val="both"/>
        <w:rPr>
          <w:rFonts w:ascii="TyponineSans Reg" w:hAnsi="TyponineSans Reg"/>
          <w:b/>
          <w:sz w:val="24"/>
          <w:szCs w:val="24"/>
        </w:rPr>
      </w:pPr>
    </w:p>
    <w:p w14:paraId="49F8FCF8" w14:textId="77777777" w:rsidR="004516D2" w:rsidRDefault="004516D2" w:rsidP="00697490">
      <w:pPr>
        <w:jc w:val="both"/>
        <w:rPr>
          <w:rFonts w:ascii="TyponineSans Reg" w:hAnsi="TyponineSans Reg"/>
          <w:b/>
          <w:sz w:val="24"/>
          <w:szCs w:val="24"/>
        </w:rPr>
      </w:pPr>
    </w:p>
    <w:p w14:paraId="51E7A60D" w14:textId="77777777" w:rsidR="004516D2" w:rsidRDefault="004516D2" w:rsidP="00697490">
      <w:pPr>
        <w:jc w:val="both"/>
        <w:rPr>
          <w:rFonts w:ascii="TyponineSans Reg" w:hAnsi="TyponineSans Reg"/>
          <w:b/>
          <w:sz w:val="24"/>
          <w:szCs w:val="24"/>
        </w:rPr>
      </w:pPr>
    </w:p>
    <w:p w14:paraId="4EBE690E" w14:textId="77777777" w:rsidR="004516D2" w:rsidRDefault="004516D2" w:rsidP="00697490">
      <w:pPr>
        <w:jc w:val="both"/>
        <w:rPr>
          <w:rFonts w:ascii="TyponineSans Reg" w:hAnsi="TyponineSans Reg"/>
          <w:b/>
          <w:sz w:val="24"/>
          <w:szCs w:val="24"/>
        </w:rPr>
      </w:pPr>
    </w:p>
    <w:p w14:paraId="6686E5A5" w14:textId="77777777" w:rsidR="004516D2" w:rsidRDefault="004516D2" w:rsidP="00697490">
      <w:pPr>
        <w:jc w:val="both"/>
        <w:rPr>
          <w:rFonts w:ascii="TyponineSans Reg" w:hAnsi="TyponineSans Reg"/>
          <w:b/>
          <w:sz w:val="24"/>
          <w:szCs w:val="24"/>
        </w:rPr>
      </w:pPr>
    </w:p>
    <w:p w14:paraId="6C340397" w14:textId="40AF3894" w:rsidR="00697490" w:rsidRPr="00A556AF" w:rsidRDefault="00697490" w:rsidP="00697490">
      <w:pPr>
        <w:jc w:val="both"/>
        <w:rPr>
          <w:rFonts w:ascii="TyponineSans Reg" w:hAnsi="TyponineSans Reg"/>
          <w:b/>
          <w:sz w:val="24"/>
          <w:szCs w:val="24"/>
        </w:rPr>
      </w:pPr>
      <w:r w:rsidRPr="00A556AF">
        <w:rPr>
          <w:rFonts w:ascii="TyponineSans Reg" w:hAnsi="TyponineSans Reg"/>
          <w:b/>
          <w:sz w:val="24"/>
          <w:szCs w:val="24"/>
        </w:rPr>
        <w:t>Šifra 31</w:t>
      </w:r>
    </w:p>
    <w:p w14:paraId="227AB0CB" w14:textId="77777777" w:rsidR="00697490" w:rsidRPr="00A556AF" w:rsidRDefault="00697490" w:rsidP="00697490">
      <w:pPr>
        <w:jc w:val="both"/>
        <w:rPr>
          <w:rFonts w:ascii="TyponineSans Reg" w:hAnsi="TyponineSans Reg"/>
          <w:b/>
          <w:sz w:val="24"/>
          <w:szCs w:val="24"/>
        </w:rPr>
      </w:pPr>
      <w:r w:rsidRPr="00A556AF">
        <w:rPr>
          <w:rFonts w:ascii="TyponineSans Reg" w:hAnsi="TyponineSans Reg"/>
          <w:b/>
          <w:sz w:val="24"/>
          <w:szCs w:val="24"/>
        </w:rPr>
        <w:t>Rashodi za zaposlene</w:t>
      </w:r>
    </w:p>
    <w:p w14:paraId="57DD15D0" w14:textId="77777777" w:rsidR="00697490" w:rsidRPr="00A556AF" w:rsidRDefault="00697490" w:rsidP="00697490">
      <w:pPr>
        <w:jc w:val="both"/>
        <w:rPr>
          <w:rFonts w:ascii="TyponineSans Reg" w:hAnsi="TyponineSans Reg"/>
          <w:b/>
          <w:szCs w:val="22"/>
        </w:rPr>
      </w:pPr>
    </w:p>
    <w:p w14:paraId="579AC3FF" w14:textId="0FFA17EC" w:rsidR="00697490" w:rsidRPr="00A556AF" w:rsidRDefault="00697490" w:rsidP="00697490">
      <w:pPr>
        <w:jc w:val="both"/>
        <w:rPr>
          <w:rFonts w:ascii="TyponineSans Reg" w:hAnsi="TyponineSans Reg"/>
          <w:szCs w:val="22"/>
        </w:rPr>
      </w:pPr>
      <w:r w:rsidRPr="00A556AF">
        <w:rPr>
          <w:rFonts w:ascii="TyponineSans Reg" w:hAnsi="TyponineSans Reg"/>
          <w:szCs w:val="22"/>
        </w:rPr>
        <w:t xml:space="preserve">Rashodi za zaposlene ostvareni su u ukupnom iznosu </w:t>
      </w:r>
      <w:r w:rsidR="00B55866" w:rsidRPr="00A556AF">
        <w:rPr>
          <w:rFonts w:ascii="TyponineSans Reg" w:hAnsi="TyponineSans Reg"/>
          <w:szCs w:val="22"/>
        </w:rPr>
        <w:t>8.229.752,87 EU</w:t>
      </w:r>
      <w:r w:rsidR="00C87716" w:rsidRPr="00A556AF">
        <w:rPr>
          <w:rFonts w:ascii="TyponineSans Reg" w:hAnsi="TyponineSans Reg"/>
          <w:szCs w:val="22"/>
        </w:rPr>
        <w:t>R</w:t>
      </w:r>
      <w:r w:rsidRPr="00A556AF">
        <w:rPr>
          <w:rFonts w:ascii="TyponineSans Reg" w:hAnsi="TyponineSans Reg"/>
          <w:szCs w:val="22"/>
        </w:rPr>
        <w:t xml:space="preserve"> i odnose se na:</w:t>
      </w:r>
    </w:p>
    <w:p w14:paraId="675DFC01" w14:textId="64712ABC" w:rsidR="00697490" w:rsidRPr="00A556AF" w:rsidRDefault="00697490" w:rsidP="00697490">
      <w:pPr>
        <w:numPr>
          <w:ilvl w:val="0"/>
          <w:numId w:val="11"/>
        </w:numPr>
        <w:jc w:val="both"/>
        <w:rPr>
          <w:rFonts w:ascii="TyponineSans Reg" w:hAnsi="TyponineSans Reg"/>
          <w:szCs w:val="22"/>
        </w:rPr>
      </w:pPr>
      <w:r w:rsidRPr="00A556AF">
        <w:rPr>
          <w:rFonts w:ascii="TyponineSans Reg" w:hAnsi="TyponineSans Reg"/>
          <w:szCs w:val="22"/>
        </w:rPr>
        <w:t xml:space="preserve">Isplaćene plaće za redovan rad u iznosu </w:t>
      </w:r>
      <w:r w:rsidR="00B55866" w:rsidRPr="00A556AF">
        <w:rPr>
          <w:rFonts w:ascii="TyponineSans Reg" w:hAnsi="TyponineSans Reg"/>
          <w:szCs w:val="22"/>
        </w:rPr>
        <w:t>6.339.524,30</w:t>
      </w:r>
      <w:r w:rsidRPr="00A556AF">
        <w:rPr>
          <w:rFonts w:ascii="TyponineSans Reg" w:hAnsi="TyponineSans Reg"/>
          <w:szCs w:val="22"/>
        </w:rPr>
        <w:t xml:space="preserve"> </w:t>
      </w:r>
      <w:r w:rsidR="00C87716" w:rsidRPr="00A556AF">
        <w:rPr>
          <w:rFonts w:ascii="TyponineSans Reg" w:hAnsi="TyponineSans Reg"/>
          <w:szCs w:val="22"/>
        </w:rPr>
        <w:t>EUR</w:t>
      </w:r>
    </w:p>
    <w:p w14:paraId="1B99A18F" w14:textId="1080FBE9" w:rsidR="00697490" w:rsidRPr="00A556AF" w:rsidRDefault="00697490" w:rsidP="00697490">
      <w:pPr>
        <w:numPr>
          <w:ilvl w:val="0"/>
          <w:numId w:val="11"/>
        </w:numPr>
        <w:jc w:val="both"/>
        <w:rPr>
          <w:rFonts w:ascii="TyponineSans Reg" w:hAnsi="TyponineSans Reg"/>
          <w:szCs w:val="22"/>
        </w:rPr>
      </w:pPr>
      <w:r w:rsidRPr="00A556AF">
        <w:rPr>
          <w:rFonts w:ascii="TyponineSans Reg" w:hAnsi="TyponineSans Reg"/>
          <w:szCs w:val="22"/>
        </w:rPr>
        <w:t xml:space="preserve">Isplaćene plaće za prekovremeni rad u iznosu od </w:t>
      </w:r>
      <w:r w:rsidR="00B55866" w:rsidRPr="00A556AF">
        <w:rPr>
          <w:rFonts w:ascii="TyponineSans Reg" w:hAnsi="TyponineSans Reg"/>
          <w:szCs w:val="22"/>
        </w:rPr>
        <w:t>158.107,61</w:t>
      </w:r>
      <w:r w:rsidRPr="00A556AF">
        <w:rPr>
          <w:rFonts w:ascii="TyponineSans Reg" w:hAnsi="TyponineSans Reg"/>
          <w:szCs w:val="22"/>
        </w:rPr>
        <w:t xml:space="preserve"> </w:t>
      </w:r>
      <w:r w:rsidR="00C87716" w:rsidRPr="00A556AF">
        <w:rPr>
          <w:rFonts w:ascii="TyponineSans Reg" w:hAnsi="TyponineSans Reg"/>
          <w:szCs w:val="22"/>
        </w:rPr>
        <w:t>EUR</w:t>
      </w:r>
    </w:p>
    <w:p w14:paraId="6FD7B3B4" w14:textId="72A31564" w:rsidR="00697490" w:rsidRPr="00A556AF" w:rsidRDefault="00697490" w:rsidP="00697490">
      <w:pPr>
        <w:numPr>
          <w:ilvl w:val="0"/>
          <w:numId w:val="11"/>
        </w:numPr>
        <w:jc w:val="both"/>
        <w:rPr>
          <w:rFonts w:ascii="TyponineSans Reg" w:hAnsi="TyponineSans Reg"/>
          <w:szCs w:val="22"/>
        </w:rPr>
      </w:pPr>
      <w:r w:rsidRPr="00A556AF">
        <w:rPr>
          <w:rFonts w:ascii="TyponineSans Reg" w:hAnsi="TyponineSans Reg"/>
          <w:szCs w:val="22"/>
        </w:rPr>
        <w:t xml:space="preserve">Ostale rashode za zaposlene u iznosu od </w:t>
      </w:r>
      <w:r w:rsidR="00B55866" w:rsidRPr="00A556AF">
        <w:rPr>
          <w:rFonts w:ascii="TyponineSans Reg" w:hAnsi="TyponineSans Reg"/>
          <w:szCs w:val="22"/>
        </w:rPr>
        <w:t>671.576,97</w:t>
      </w:r>
      <w:r w:rsidRPr="00A556AF">
        <w:rPr>
          <w:rFonts w:ascii="TyponineSans Reg" w:hAnsi="TyponineSans Reg"/>
          <w:szCs w:val="22"/>
        </w:rPr>
        <w:t xml:space="preserve"> </w:t>
      </w:r>
      <w:r w:rsidR="00C87716" w:rsidRPr="00A556AF">
        <w:rPr>
          <w:rFonts w:ascii="TyponineSans Reg" w:hAnsi="TyponineSans Reg"/>
          <w:szCs w:val="22"/>
        </w:rPr>
        <w:t>EUR</w:t>
      </w:r>
    </w:p>
    <w:p w14:paraId="4115E88B" w14:textId="55F42715" w:rsidR="00697490" w:rsidRPr="00A556AF" w:rsidRDefault="00697490" w:rsidP="00697490">
      <w:pPr>
        <w:numPr>
          <w:ilvl w:val="0"/>
          <w:numId w:val="11"/>
        </w:numPr>
        <w:jc w:val="both"/>
        <w:rPr>
          <w:rFonts w:ascii="TyponineSans Reg" w:hAnsi="TyponineSans Reg"/>
          <w:szCs w:val="22"/>
        </w:rPr>
      </w:pPr>
      <w:r w:rsidRPr="00A556AF">
        <w:rPr>
          <w:rFonts w:ascii="TyponineSans Reg" w:hAnsi="TyponineSans Reg"/>
          <w:szCs w:val="22"/>
        </w:rPr>
        <w:t xml:space="preserve">Ukupno isplaćene doprinose na plaće u iznosu od </w:t>
      </w:r>
      <w:r w:rsidR="00B55866" w:rsidRPr="00A556AF">
        <w:rPr>
          <w:rFonts w:ascii="TyponineSans Reg" w:hAnsi="TyponineSans Reg"/>
          <w:szCs w:val="22"/>
        </w:rPr>
        <w:t>1.060.543,99</w:t>
      </w:r>
      <w:r w:rsidRPr="00A556AF">
        <w:rPr>
          <w:rFonts w:ascii="TyponineSans Reg" w:hAnsi="TyponineSans Reg"/>
          <w:szCs w:val="22"/>
        </w:rPr>
        <w:t xml:space="preserve"> </w:t>
      </w:r>
      <w:r w:rsidR="00C87716" w:rsidRPr="00A556AF">
        <w:rPr>
          <w:rFonts w:ascii="TyponineSans Reg" w:hAnsi="TyponineSans Reg"/>
          <w:szCs w:val="22"/>
        </w:rPr>
        <w:t>EUR</w:t>
      </w:r>
    </w:p>
    <w:p w14:paraId="0086E28F" w14:textId="77777777" w:rsidR="00697490" w:rsidRPr="00A556AF" w:rsidRDefault="00697490" w:rsidP="00697490">
      <w:pPr>
        <w:ind w:left="720"/>
        <w:jc w:val="both"/>
        <w:rPr>
          <w:rFonts w:ascii="TyponineSans Reg" w:hAnsi="TyponineSans Reg"/>
          <w:szCs w:val="22"/>
        </w:rPr>
      </w:pPr>
    </w:p>
    <w:p w14:paraId="51AE350E" w14:textId="6C707015" w:rsidR="00697490" w:rsidRPr="00A556AF" w:rsidRDefault="00697490" w:rsidP="00697490">
      <w:pPr>
        <w:jc w:val="both"/>
        <w:rPr>
          <w:rFonts w:ascii="TyponineSans Reg" w:hAnsi="TyponineSans Reg"/>
        </w:rPr>
      </w:pPr>
      <w:r w:rsidRPr="00A556AF">
        <w:rPr>
          <w:rFonts w:ascii="TyponineSans Reg" w:hAnsi="TyponineSans Reg"/>
          <w:szCs w:val="22"/>
        </w:rPr>
        <w:t>Ukupno ostvareni rashodi za zaposlene veći su za 3</w:t>
      </w:r>
      <w:r w:rsidR="00B55866" w:rsidRPr="00A556AF">
        <w:rPr>
          <w:rFonts w:ascii="TyponineSans Reg" w:hAnsi="TyponineSans Reg"/>
          <w:szCs w:val="22"/>
        </w:rPr>
        <w:t>7</w:t>
      </w:r>
      <w:r w:rsidRPr="00A556AF">
        <w:rPr>
          <w:rFonts w:ascii="TyponineSans Reg" w:hAnsi="TyponineSans Reg"/>
          <w:szCs w:val="22"/>
        </w:rPr>
        <w:t>,9</w:t>
      </w:r>
      <w:r w:rsidR="00B55866" w:rsidRPr="00A556AF">
        <w:rPr>
          <w:rFonts w:ascii="TyponineSans Reg" w:hAnsi="TyponineSans Reg"/>
          <w:szCs w:val="22"/>
        </w:rPr>
        <w:t>1</w:t>
      </w:r>
      <w:r w:rsidRPr="00A556AF">
        <w:rPr>
          <w:rFonts w:ascii="TyponineSans Reg" w:hAnsi="TyponineSans Reg"/>
          <w:szCs w:val="22"/>
        </w:rPr>
        <w:t xml:space="preserve">% u odnosu na isto razdoblje prethodne godine. </w:t>
      </w:r>
      <w:r w:rsidRPr="00A556AF">
        <w:rPr>
          <w:rFonts w:ascii="TyponineSans Reg" w:hAnsi="TyponineSans Reg"/>
        </w:rPr>
        <w:t>Povećanje rashoda za zaposlene posljedica je</w:t>
      </w:r>
      <w:r w:rsidR="00A556AF">
        <w:rPr>
          <w:rFonts w:ascii="TyponineSans Reg" w:hAnsi="TyponineSans Reg"/>
        </w:rPr>
        <w:t xml:space="preserve"> </w:t>
      </w:r>
      <w:r w:rsidR="0031295E" w:rsidRPr="00A556AF">
        <w:rPr>
          <w:rFonts w:ascii="TyponineSans Reg" w:hAnsi="TyponineSans Reg"/>
        </w:rPr>
        <w:t>primjene novog Zakona o plaćama u državnoj i javnim službama</w:t>
      </w:r>
      <w:r w:rsidR="00A556AF">
        <w:rPr>
          <w:rFonts w:ascii="TyponineSans Reg" w:hAnsi="TyponineSans Reg"/>
        </w:rPr>
        <w:t xml:space="preserve"> </w:t>
      </w:r>
      <w:r w:rsidR="0031295E" w:rsidRPr="00A556AF">
        <w:rPr>
          <w:rFonts w:ascii="TyponineSans Reg" w:hAnsi="TyponineSans Reg"/>
        </w:rPr>
        <w:t xml:space="preserve">i </w:t>
      </w:r>
      <w:r w:rsidR="00DE35D0" w:rsidRPr="00A556AF">
        <w:rPr>
          <w:rFonts w:ascii="TyponineSans Reg" w:hAnsi="TyponineSans Reg"/>
        </w:rPr>
        <w:t>Uredbe</w:t>
      </w:r>
      <w:r w:rsidRPr="00A556AF">
        <w:rPr>
          <w:rFonts w:ascii="TyponineSans Reg" w:hAnsi="TyponineSans Reg"/>
        </w:rPr>
        <w:t xml:space="preserve"> </w:t>
      </w:r>
      <w:r w:rsidR="0031295E" w:rsidRPr="00A556AF">
        <w:rPr>
          <w:rFonts w:ascii="TyponineSans Reg" w:hAnsi="TyponineSans Reg"/>
        </w:rPr>
        <w:t>o nazivu radnih  mjesta, uvjetima</w:t>
      </w:r>
      <w:r w:rsidR="00A556AF">
        <w:rPr>
          <w:rFonts w:ascii="TyponineSans Reg" w:hAnsi="TyponineSans Reg"/>
        </w:rPr>
        <w:t xml:space="preserve"> </w:t>
      </w:r>
      <w:r w:rsidR="0031295E" w:rsidRPr="00A556AF">
        <w:rPr>
          <w:rFonts w:ascii="TyponineSans Reg" w:hAnsi="TyponineSans Reg"/>
        </w:rPr>
        <w:t>za raspored i koeficijentima za obračun plaće u javnim službama.</w:t>
      </w:r>
    </w:p>
    <w:p w14:paraId="23364144" w14:textId="77777777" w:rsidR="00697490" w:rsidRPr="00A556AF" w:rsidRDefault="00697490" w:rsidP="00697490">
      <w:pPr>
        <w:jc w:val="both"/>
        <w:rPr>
          <w:rFonts w:ascii="TyponineSans Reg" w:hAnsi="TyponineSans Reg"/>
          <w:b/>
          <w:szCs w:val="22"/>
        </w:rPr>
      </w:pPr>
    </w:p>
    <w:p w14:paraId="73729136" w14:textId="77777777" w:rsidR="00697490" w:rsidRPr="00A556AF" w:rsidRDefault="00697490" w:rsidP="00697490">
      <w:pPr>
        <w:jc w:val="both"/>
        <w:rPr>
          <w:rFonts w:ascii="TyponineSans Reg" w:hAnsi="TyponineSans Reg"/>
          <w:b/>
          <w:sz w:val="24"/>
          <w:szCs w:val="24"/>
        </w:rPr>
      </w:pPr>
      <w:r w:rsidRPr="00A556AF">
        <w:rPr>
          <w:rFonts w:ascii="TyponineSans Reg" w:hAnsi="TyponineSans Reg"/>
          <w:b/>
          <w:sz w:val="24"/>
          <w:szCs w:val="24"/>
        </w:rPr>
        <w:t>Šifra 32</w:t>
      </w:r>
    </w:p>
    <w:p w14:paraId="0D39B7B6" w14:textId="77777777" w:rsidR="00697490" w:rsidRPr="00A556AF" w:rsidRDefault="00697490" w:rsidP="00697490">
      <w:pPr>
        <w:jc w:val="both"/>
        <w:rPr>
          <w:rFonts w:ascii="TyponineSans Reg" w:hAnsi="TyponineSans Reg"/>
          <w:b/>
          <w:szCs w:val="22"/>
        </w:rPr>
      </w:pPr>
      <w:r w:rsidRPr="00A556AF">
        <w:rPr>
          <w:rFonts w:ascii="TyponineSans Reg" w:hAnsi="TyponineSans Reg"/>
          <w:b/>
          <w:szCs w:val="22"/>
        </w:rPr>
        <w:t>Materijalni rashodi</w:t>
      </w:r>
    </w:p>
    <w:p w14:paraId="7A497497" w14:textId="77777777" w:rsidR="00697490" w:rsidRPr="00A556AF" w:rsidRDefault="00697490" w:rsidP="00697490">
      <w:pPr>
        <w:jc w:val="both"/>
        <w:rPr>
          <w:rFonts w:ascii="TyponineSans Reg" w:hAnsi="TyponineSans Reg"/>
          <w:b/>
          <w:szCs w:val="22"/>
        </w:rPr>
      </w:pPr>
    </w:p>
    <w:p w14:paraId="6F0ABCE3" w14:textId="79A10A07" w:rsidR="00697490" w:rsidRPr="003E4595" w:rsidRDefault="00697490" w:rsidP="00697490">
      <w:pPr>
        <w:jc w:val="both"/>
        <w:rPr>
          <w:rFonts w:ascii="TyponineSans Reg" w:hAnsi="TyponineSans Reg"/>
          <w:szCs w:val="22"/>
        </w:rPr>
      </w:pPr>
      <w:r w:rsidRPr="003E4595">
        <w:rPr>
          <w:rFonts w:ascii="TyponineSans Reg" w:hAnsi="TyponineSans Reg"/>
          <w:szCs w:val="22"/>
        </w:rPr>
        <w:t xml:space="preserve">U strukturi ostvarenih materijalnih rashoda </w:t>
      </w:r>
      <w:r w:rsidR="00902CBF" w:rsidRPr="003E4595">
        <w:rPr>
          <w:rFonts w:ascii="TyponineSans Reg" w:hAnsi="TyponineSans Reg"/>
          <w:szCs w:val="22"/>
        </w:rPr>
        <w:t>u iznosu</w:t>
      </w:r>
      <w:r w:rsidRPr="003E4595">
        <w:rPr>
          <w:rFonts w:ascii="TyponineSans Reg" w:hAnsi="TyponineSans Reg"/>
          <w:szCs w:val="22"/>
        </w:rPr>
        <w:t xml:space="preserve"> </w:t>
      </w:r>
      <w:r w:rsidR="00902CBF" w:rsidRPr="003E4595">
        <w:rPr>
          <w:rFonts w:ascii="TyponineSans Reg" w:hAnsi="TyponineSans Reg"/>
          <w:szCs w:val="22"/>
        </w:rPr>
        <w:t>5.170.857,01</w:t>
      </w:r>
      <w:r w:rsidRPr="003E4595">
        <w:rPr>
          <w:rFonts w:ascii="TyponineSans Reg" w:hAnsi="TyponineSans Reg"/>
          <w:szCs w:val="22"/>
        </w:rPr>
        <w:t xml:space="preserve"> </w:t>
      </w:r>
      <w:r w:rsidR="00C87716" w:rsidRPr="003E4595">
        <w:rPr>
          <w:rFonts w:ascii="TyponineSans Reg" w:hAnsi="TyponineSans Reg"/>
          <w:szCs w:val="22"/>
        </w:rPr>
        <w:t>EUR</w:t>
      </w:r>
      <w:r w:rsidRPr="003E4595">
        <w:rPr>
          <w:rFonts w:ascii="TyponineSans Reg" w:hAnsi="TyponineSans Reg"/>
          <w:szCs w:val="22"/>
        </w:rPr>
        <w:t xml:space="preserve"> evidentirane su sljedeće skupine troškova:</w:t>
      </w:r>
    </w:p>
    <w:p w14:paraId="09395FB8" w14:textId="77777777" w:rsidR="00697490" w:rsidRPr="003E4595" w:rsidRDefault="00697490" w:rsidP="00697490">
      <w:pPr>
        <w:jc w:val="both"/>
        <w:rPr>
          <w:rFonts w:ascii="TyponineSans Reg" w:hAnsi="TyponineSans Reg"/>
          <w:szCs w:val="22"/>
        </w:rPr>
      </w:pPr>
    </w:p>
    <w:p w14:paraId="6F63C867" w14:textId="5B973773" w:rsidR="00697490" w:rsidRPr="003E4595" w:rsidRDefault="00697490" w:rsidP="00BB1FA8">
      <w:pPr>
        <w:numPr>
          <w:ilvl w:val="0"/>
          <w:numId w:val="12"/>
        </w:numPr>
        <w:jc w:val="both"/>
        <w:rPr>
          <w:rFonts w:ascii="TyponineSans Reg" w:hAnsi="TyponineSans Reg"/>
          <w:szCs w:val="22"/>
        </w:rPr>
      </w:pPr>
      <w:r w:rsidRPr="003E4595">
        <w:rPr>
          <w:rFonts w:ascii="TyponineSans Reg" w:hAnsi="TyponineSans Reg"/>
          <w:szCs w:val="22"/>
        </w:rPr>
        <w:t>Naknade troškova zaposlenima u iznosu 2</w:t>
      </w:r>
      <w:r w:rsidR="00902CBF" w:rsidRPr="003E4595">
        <w:rPr>
          <w:rFonts w:ascii="TyponineSans Reg" w:hAnsi="TyponineSans Reg"/>
          <w:szCs w:val="22"/>
        </w:rPr>
        <w:t>7</w:t>
      </w:r>
      <w:r w:rsidRPr="003E4595">
        <w:rPr>
          <w:rFonts w:ascii="TyponineSans Reg" w:hAnsi="TyponineSans Reg"/>
          <w:szCs w:val="22"/>
        </w:rPr>
        <w:t>5.</w:t>
      </w:r>
      <w:r w:rsidR="00902CBF" w:rsidRPr="003E4595">
        <w:rPr>
          <w:rFonts w:ascii="TyponineSans Reg" w:hAnsi="TyponineSans Reg"/>
          <w:szCs w:val="22"/>
        </w:rPr>
        <w:t>209,01</w:t>
      </w:r>
      <w:r w:rsidRPr="003E4595">
        <w:rPr>
          <w:rFonts w:ascii="TyponineSans Reg" w:hAnsi="TyponineSans Reg"/>
          <w:szCs w:val="22"/>
        </w:rPr>
        <w:t xml:space="preserve"> </w:t>
      </w:r>
      <w:r w:rsidR="00C87716" w:rsidRPr="003E4595">
        <w:rPr>
          <w:rFonts w:ascii="TyponineSans Reg" w:hAnsi="TyponineSans Reg"/>
          <w:szCs w:val="22"/>
        </w:rPr>
        <w:t>EUR</w:t>
      </w:r>
      <w:r w:rsidRPr="003E4595">
        <w:rPr>
          <w:rFonts w:ascii="TyponineSans Reg" w:hAnsi="TyponineSans Reg"/>
          <w:szCs w:val="22"/>
        </w:rPr>
        <w:t xml:space="preserve"> </w:t>
      </w:r>
      <w:r w:rsidR="00902CBF" w:rsidRPr="003E4595">
        <w:rPr>
          <w:rFonts w:ascii="TyponineSans Reg" w:hAnsi="TyponineSans Reg"/>
          <w:szCs w:val="22"/>
        </w:rPr>
        <w:t>biljež</w:t>
      </w:r>
      <w:r w:rsidR="001D4EC7" w:rsidRPr="003E4595">
        <w:rPr>
          <w:rFonts w:ascii="TyponineSans Reg" w:hAnsi="TyponineSans Reg"/>
          <w:szCs w:val="22"/>
        </w:rPr>
        <w:t>e</w:t>
      </w:r>
      <w:r w:rsidR="00902CBF" w:rsidRPr="003E4595">
        <w:rPr>
          <w:rFonts w:ascii="TyponineSans Reg" w:hAnsi="TyponineSans Reg"/>
          <w:szCs w:val="22"/>
        </w:rPr>
        <w:t xml:space="preserve"> povećanje</w:t>
      </w:r>
      <w:r w:rsidRPr="003E4595">
        <w:rPr>
          <w:rFonts w:ascii="TyponineSans Reg" w:hAnsi="TyponineSans Reg"/>
          <w:szCs w:val="22"/>
        </w:rPr>
        <w:t xml:space="preserve"> </w:t>
      </w:r>
      <w:r w:rsidR="008845B1" w:rsidRPr="003E4595">
        <w:rPr>
          <w:rFonts w:ascii="TyponineSans Reg" w:hAnsi="TyponineSans Reg"/>
          <w:szCs w:val="22"/>
        </w:rPr>
        <w:t>od</w:t>
      </w:r>
      <w:r w:rsidRPr="003E4595">
        <w:rPr>
          <w:rFonts w:ascii="TyponineSans Reg" w:hAnsi="TyponineSans Reg"/>
          <w:szCs w:val="22"/>
        </w:rPr>
        <w:t xml:space="preserve"> 2</w:t>
      </w:r>
      <w:r w:rsidR="00902CBF" w:rsidRPr="003E4595">
        <w:rPr>
          <w:rFonts w:ascii="TyponineSans Reg" w:hAnsi="TyponineSans Reg"/>
          <w:szCs w:val="22"/>
        </w:rPr>
        <w:t>7</w:t>
      </w:r>
      <w:r w:rsidRPr="003E4595">
        <w:rPr>
          <w:rFonts w:ascii="TyponineSans Reg" w:hAnsi="TyponineSans Reg"/>
          <w:szCs w:val="22"/>
        </w:rPr>
        <w:t>,8</w:t>
      </w:r>
      <w:r w:rsidR="00902CBF" w:rsidRPr="003E4595">
        <w:rPr>
          <w:rFonts w:ascii="TyponineSans Reg" w:hAnsi="TyponineSans Reg"/>
          <w:szCs w:val="22"/>
        </w:rPr>
        <w:t>4</w:t>
      </w:r>
      <w:r w:rsidRPr="003E4595">
        <w:rPr>
          <w:rFonts w:ascii="TyponineSans Reg" w:hAnsi="TyponineSans Reg"/>
          <w:szCs w:val="22"/>
        </w:rPr>
        <w:t xml:space="preserve">% u odnosu na ostvarenje prošle godine. Naknade troškova zaposlenima čine troškovi za službena putovanja u iznosu </w:t>
      </w:r>
      <w:r w:rsidR="00902CBF" w:rsidRPr="003E4595">
        <w:rPr>
          <w:rFonts w:ascii="TyponineSans Reg" w:hAnsi="TyponineSans Reg"/>
          <w:szCs w:val="22"/>
        </w:rPr>
        <w:t>48.711,91</w:t>
      </w:r>
      <w:r w:rsidRPr="003E4595">
        <w:rPr>
          <w:rFonts w:ascii="TyponineSans Reg" w:hAnsi="TyponineSans Reg"/>
          <w:szCs w:val="22"/>
        </w:rPr>
        <w:t xml:space="preserve"> </w:t>
      </w:r>
      <w:r w:rsidR="00C87716" w:rsidRPr="003E4595">
        <w:rPr>
          <w:rFonts w:ascii="TyponineSans Reg" w:hAnsi="TyponineSans Reg"/>
          <w:szCs w:val="22"/>
        </w:rPr>
        <w:t>EUR</w:t>
      </w:r>
      <w:r w:rsidR="00902CBF" w:rsidRPr="003E4595">
        <w:rPr>
          <w:rFonts w:ascii="TyponineSans Reg" w:hAnsi="TyponineSans Reg"/>
          <w:szCs w:val="22"/>
        </w:rPr>
        <w:t>, porast 84,66%</w:t>
      </w:r>
      <w:r w:rsidRPr="003E4595">
        <w:rPr>
          <w:rFonts w:ascii="TyponineSans Reg" w:hAnsi="TyponineSans Reg"/>
          <w:szCs w:val="22"/>
        </w:rPr>
        <w:t>, naknade za prijevoz u iznosu od 1</w:t>
      </w:r>
      <w:r w:rsidR="00902CBF" w:rsidRPr="003E4595">
        <w:rPr>
          <w:rFonts w:ascii="TyponineSans Reg" w:hAnsi="TyponineSans Reg"/>
          <w:szCs w:val="22"/>
        </w:rPr>
        <w:t>94.702,37</w:t>
      </w:r>
      <w:r w:rsidRPr="003E4595">
        <w:rPr>
          <w:rFonts w:ascii="TyponineSans Reg" w:hAnsi="TyponineSans Reg"/>
          <w:szCs w:val="22"/>
        </w:rPr>
        <w:t xml:space="preserve"> </w:t>
      </w:r>
      <w:r w:rsidR="00C87716" w:rsidRPr="003E4595">
        <w:rPr>
          <w:rFonts w:ascii="TyponineSans Reg" w:hAnsi="TyponineSans Reg"/>
          <w:szCs w:val="22"/>
        </w:rPr>
        <w:t>EUR</w:t>
      </w:r>
      <w:r w:rsidRPr="003E4595">
        <w:rPr>
          <w:rFonts w:ascii="TyponineSans Reg" w:hAnsi="TyponineSans Reg"/>
          <w:szCs w:val="22"/>
        </w:rPr>
        <w:t xml:space="preserve"> </w:t>
      </w:r>
      <w:r w:rsidR="00902CBF" w:rsidRPr="003E4595">
        <w:rPr>
          <w:rFonts w:ascii="TyponineSans Reg" w:hAnsi="TyponineSans Reg"/>
          <w:szCs w:val="22"/>
        </w:rPr>
        <w:t xml:space="preserve">porast 13,68% </w:t>
      </w:r>
      <w:r w:rsidRPr="003E4595">
        <w:rPr>
          <w:rFonts w:ascii="TyponineSans Reg" w:hAnsi="TyponineSans Reg"/>
          <w:szCs w:val="22"/>
        </w:rPr>
        <w:t xml:space="preserve">i stručno usavršavanje zaposlenika u iznosu od </w:t>
      </w:r>
      <w:r w:rsidR="00902CBF" w:rsidRPr="003E4595">
        <w:rPr>
          <w:rFonts w:ascii="TyponineSans Reg" w:hAnsi="TyponineSans Reg"/>
          <w:szCs w:val="22"/>
        </w:rPr>
        <w:t>32.487,73</w:t>
      </w:r>
      <w:r w:rsidRPr="003E4595">
        <w:rPr>
          <w:rFonts w:ascii="TyponineSans Reg" w:hAnsi="TyponineSans Reg"/>
          <w:szCs w:val="22"/>
        </w:rPr>
        <w:t xml:space="preserve"> </w:t>
      </w:r>
      <w:r w:rsidR="00C87716" w:rsidRPr="003E4595">
        <w:rPr>
          <w:rFonts w:ascii="TyponineSans Reg" w:hAnsi="TyponineSans Reg"/>
          <w:szCs w:val="22"/>
        </w:rPr>
        <w:t>EUR</w:t>
      </w:r>
      <w:r w:rsidR="00902CBF" w:rsidRPr="003E4595">
        <w:rPr>
          <w:rFonts w:ascii="TyponineSans Reg" w:hAnsi="TyponineSans Reg"/>
          <w:szCs w:val="22"/>
        </w:rPr>
        <w:t xml:space="preserve"> porast 86,31%.</w:t>
      </w:r>
    </w:p>
    <w:p w14:paraId="56010262" w14:textId="18ED8BC7" w:rsidR="00697490" w:rsidRPr="003E4595" w:rsidRDefault="00697490" w:rsidP="00EF7F09">
      <w:pPr>
        <w:numPr>
          <w:ilvl w:val="0"/>
          <w:numId w:val="12"/>
        </w:numPr>
        <w:ind w:left="709" w:hanging="283"/>
        <w:jc w:val="both"/>
        <w:rPr>
          <w:rFonts w:ascii="TyponineSans Reg" w:hAnsi="TyponineSans Reg"/>
          <w:szCs w:val="22"/>
        </w:rPr>
      </w:pPr>
      <w:r w:rsidRPr="003E4595">
        <w:rPr>
          <w:rFonts w:ascii="TyponineSans Reg" w:hAnsi="TyponineSans Reg"/>
          <w:szCs w:val="22"/>
        </w:rPr>
        <w:t xml:space="preserve">Rashodi za materijal i energiju ostvareni su u iznosu </w:t>
      </w:r>
      <w:r w:rsidR="001D4EC7" w:rsidRPr="003E4595">
        <w:rPr>
          <w:rFonts w:ascii="TyponineSans Reg" w:hAnsi="TyponineSans Reg"/>
          <w:szCs w:val="22"/>
        </w:rPr>
        <w:t>2.014.785,49</w:t>
      </w:r>
      <w:r w:rsidRPr="003E4595">
        <w:rPr>
          <w:rFonts w:ascii="TyponineSans Reg" w:hAnsi="TyponineSans Reg"/>
          <w:szCs w:val="22"/>
        </w:rPr>
        <w:t xml:space="preserve"> </w:t>
      </w:r>
      <w:r w:rsidR="00C87716" w:rsidRPr="003E4595">
        <w:rPr>
          <w:rFonts w:ascii="TyponineSans Reg" w:hAnsi="TyponineSans Reg"/>
          <w:szCs w:val="22"/>
        </w:rPr>
        <w:t>EUR</w:t>
      </w:r>
      <w:r w:rsidRPr="003E4595">
        <w:rPr>
          <w:rFonts w:ascii="TyponineSans Reg" w:hAnsi="TyponineSans Reg"/>
          <w:szCs w:val="22"/>
        </w:rPr>
        <w:t xml:space="preserve"> i veći su za </w:t>
      </w:r>
      <w:r w:rsidR="000B6AA0" w:rsidRPr="003E4595">
        <w:rPr>
          <w:rFonts w:ascii="TyponineSans Reg" w:hAnsi="TyponineSans Reg"/>
          <w:szCs w:val="22"/>
        </w:rPr>
        <w:t>8</w:t>
      </w:r>
      <w:r w:rsidRPr="003E4595">
        <w:rPr>
          <w:rFonts w:ascii="TyponineSans Reg" w:hAnsi="TyponineSans Reg"/>
          <w:szCs w:val="22"/>
        </w:rPr>
        <w:t>2.</w:t>
      </w:r>
      <w:r w:rsidR="000B6AA0" w:rsidRPr="003E4595">
        <w:rPr>
          <w:rFonts w:ascii="TyponineSans Reg" w:hAnsi="TyponineSans Reg"/>
          <w:szCs w:val="22"/>
        </w:rPr>
        <w:t>016,07</w:t>
      </w:r>
      <w:r w:rsidRPr="003E4595">
        <w:rPr>
          <w:rFonts w:ascii="TyponineSans Reg" w:hAnsi="TyponineSans Reg"/>
          <w:szCs w:val="22"/>
        </w:rPr>
        <w:t xml:space="preserve"> </w:t>
      </w:r>
      <w:r w:rsidR="00C87716" w:rsidRPr="003E4595">
        <w:rPr>
          <w:rFonts w:ascii="TyponineSans Reg" w:hAnsi="TyponineSans Reg"/>
          <w:szCs w:val="22"/>
        </w:rPr>
        <w:t>EUR</w:t>
      </w:r>
      <w:r w:rsidRPr="003E4595">
        <w:rPr>
          <w:rFonts w:ascii="TyponineSans Reg" w:hAnsi="TyponineSans Reg"/>
          <w:szCs w:val="22"/>
        </w:rPr>
        <w:t xml:space="preserve"> u odnosu na ostvarenje 202</w:t>
      </w:r>
      <w:r w:rsidR="000B6AA0" w:rsidRPr="003E4595">
        <w:rPr>
          <w:rFonts w:ascii="TyponineSans Reg" w:hAnsi="TyponineSans Reg"/>
          <w:szCs w:val="22"/>
        </w:rPr>
        <w:t>3</w:t>
      </w:r>
      <w:r w:rsidRPr="003E4595">
        <w:rPr>
          <w:rFonts w:ascii="TyponineSans Reg" w:hAnsi="TyponineSans Reg"/>
          <w:szCs w:val="22"/>
        </w:rPr>
        <w:t>. godine.</w:t>
      </w:r>
    </w:p>
    <w:p w14:paraId="136A4AA4" w14:textId="4130613B" w:rsidR="00052249" w:rsidRPr="003E4595" w:rsidRDefault="00052249" w:rsidP="00052249">
      <w:pPr>
        <w:ind w:left="709"/>
        <w:jc w:val="both"/>
        <w:rPr>
          <w:rFonts w:ascii="TyponineSans Reg" w:hAnsi="TyponineSans Reg"/>
          <w:szCs w:val="22"/>
        </w:rPr>
      </w:pPr>
      <w:r w:rsidRPr="003E4595">
        <w:rPr>
          <w:rFonts w:ascii="TyponineSans Reg" w:hAnsi="TyponineSans Reg"/>
          <w:szCs w:val="22"/>
        </w:rPr>
        <w:t>Povećanje rashoda za materijal i energiju  ostvareno je u stavkama troškova nabave uredskog i ostalog materijala za 13.361,85 EUR odnosno 7,20%, troškova energije u iznosu 27.850,73 EUR povećanje 4,94%, materijala i dijelova za tekuće i investicijsko održavanje u iznosu 111.689,96 EUR odnosno 57,44%.</w:t>
      </w:r>
    </w:p>
    <w:p w14:paraId="55CDB22C" w14:textId="045A7039" w:rsidR="00652A45" w:rsidRPr="003E4595" w:rsidRDefault="00652A45" w:rsidP="00052249">
      <w:pPr>
        <w:ind w:left="709"/>
        <w:jc w:val="both"/>
        <w:rPr>
          <w:rFonts w:ascii="TyponineSans Reg" w:hAnsi="TyponineSans Reg"/>
          <w:szCs w:val="22"/>
        </w:rPr>
      </w:pPr>
      <w:r w:rsidRPr="003E4595">
        <w:rPr>
          <w:rFonts w:ascii="TyponineSans Reg" w:hAnsi="TyponineSans Reg"/>
          <w:szCs w:val="22"/>
        </w:rPr>
        <w:t xml:space="preserve">Troškovi materijala i </w:t>
      </w:r>
      <w:r w:rsidR="00052249" w:rsidRPr="003E4595">
        <w:rPr>
          <w:rFonts w:ascii="TyponineSans Reg" w:hAnsi="TyponineSans Reg"/>
          <w:szCs w:val="22"/>
        </w:rPr>
        <w:t xml:space="preserve">sirovina </w:t>
      </w:r>
      <w:r w:rsidRPr="003E4595">
        <w:rPr>
          <w:rFonts w:ascii="TyponineSans Reg" w:hAnsi="TyponineSans Reg"/>
          <w:szCs w:val="22"/>
        </w:rPr>
        <w:t xml:space="preserve">ostvareni su u iznosu </w:t>
      </w:r>
      <w:r w:rsidR="00052249" w:rsidRPr="003E4595">
        <w:rPr>
          <w:rFonts w:ascii="TyponineSans Reg" w:hAnsi="TyponineSans Reg"/>
          <w:szCs w:val="22"/>
        </w:rPr>
        <w:t xml:space="preserve">801.122,20 </w:t>
      </w:r>
      <w:r w:rsidRPr="003E4595">
        <w:rPr>
          <w:rFonts w:ascii="TyponineSans Reg" w:hAnsi="TyponineSans Reg"/>
          <w:szCs w:val="22"/>
        </w:rPr>
        <w:t xml:space="preserve">EUR i manji su za </w:t>
      </w:r>
      <w:r w:rsidR="00052249" w:rsidRPr="003E4595">
        <w:rPr>
          <w:rFonts w:ascii="TyponineSans Reg" w:hAnsi="TyponineSans Reg"/>
          <w:szCs w:val="22"/>
        </w:rPr>
        <w:t>2</w:t>
      </w:r>
      <w:r w:rsidRPr="003E4595">
        <w:rPr>
          <w:rFonts w:ascii="TyponineSans Reg" w:hAnsi="TyponineSans Reg"/>
          <w:szCs w:val="22"/>
        </w:rPr>
        <w:t>6.</w:t>
      </w:r>
      <w:r w:rsidR="00052249" w:rsidRPr="003E4595">
        <w:rPr>
          <w:rFonts w:ascii="TyponineSans Reg" w:hAnsi="TyponineSans Reg"/>
          <w:szCs w:val="22"/>
        </w:rPr>
        <w:t>788,86</w:t>
      </w:r>
      <w:r w:rsidRPr="003E4595">
        <w:rPr>
          <w:rFonts w:ascii="TyponineSans Reg" w:hAnsi="TyponineSans Reg"/>
          <w:szCs w:val="22"/>
        </w:rPr>
        <w:t xml:space="preserve"> EUR, odnosno </w:t>
      </w:r>
      <w:r w:rsidR="00052249" w:rsidRPr="003E4595">
        <w:rPr>
          <w:rFonts w:ascii="TyponineSans Reg" w:hAnsi="TyponineSans Reg"/>
          <w:szCs w:val="22"/>
        </w:rPr>
        <w:t>3,24</w:t>
      </w:r>
      <w:r w:rsidRPr="003E4595">
        <w:rPr>
          <w:rFonts w:ascii="TyponineSans Reg" w:hAnsi="TyponineSans Reg"/>
          <w:szCs w:val="22"/>
        </w:rPr>
        <w:t xml:space="preserve">% u odnosu na prošlu godinu. Troškovi nabave sitnog inventara i auto guma ostvareni su u iznosu </w:t>
      </w:r>
      <w:r w:rsidR="00052249" w:rsidRPr="003E4595">
        <w:rPr>
          <w:rFonts w:ascii="TyponineSans Reg" w:hAnsi="TyponineSans Reg"/>
          <w:szCs w:val="22"/>
        </w:rPr>
        <w:t>51.340,89</w:t>
      </w:r>
      <w:r w:rsidRPr="003E4595">
        <w:rPr>
          <w:rFonts w:ascii="TyponineSans Reg" w:hAnsi="TyponineSans Reg"/>
          <w:szCs w:val="22"/>
        </w:rPr>
        <w:t xml:space="preserve"> EUR </w:t>
      </w:r>
      <w:r w:rsidR="00052249" w:rsidRPr="003E4595">
        <w:rPr>
          <w:rFonts w:ascii="TyponineSans Reg" w:hAnsi="TyponineSans Reg"/>
          <w:szCs w:val="22"/>
        </w:rPr>
        <w:t>što je smanjenje za 29.409,80</w:t>
      </w:r>
      <w:r w:rsidRPr="003E4595">
        <w:rPr>
          <w:rFonts w:ascii="TyponineSans Reg" w:hAnsi="TyponineSans Reg"/>
          <w:szCs w:val="22"/>
        </w:rPr>
        <w:t xml:space="preserve"> EUR, odnosno </w:t>
      </w:r>
      <w:r w:rsidR="00052249" w:rsidRPr="003E4595">
        <w:rPr>
          <w:rFonts w:ascii="TyponineSans Reg" w:hAnsi="TyponineSans Reg"/>
          <w:szCs w:val="22"/>
        </w:rPr>
        <w:t>36,42</w:t>
      </w:r>
      <w:r w:rsidRPr="003E4595">
        <w:rPr>
          <w:rFonts w:ascii="TyponineSans Reg" w:hAnsi="TyponineSans Reg"/>
          <w:szCs w:val="22"/>
        </w:rPr>
        <w:t xml:space="preserve">% u odnosu na prethodnu godinu. Troškovi nabave radne i zaštitne odjeće ostvareni su u iznosu </w:t>
      </w:r>
      <w:r w:rsidR="00046757" w:rsidRPr="003E4595">
        <w:rPr>
          <w:rFonts w:ascii="TyponineSans Reg" w:hAnsi="TyponineSans Reg"/>
          <w:szCs w:val="22"/>
        </w:rPr>
        <w:t>65.311,09</w:t>
      </w:r>
      <w:r w:rsidRPr="003E4595">
        <w:rPr>
          <w:rFonts w:ascii="TyponineSans Reg" w:hAnsi="TyponineSans Reg"/>
          <w:szCs w:val="22"/>
        </w:rPr>
        <w:t xml:space="preserve"> EUR </w:t>
      </w:r>
      <w:r w:rsidR="003E4595">
        <w:rPr>
          <w:rFonts w:ascii="TyponineSans Reg" w:hAnsi="TyponineSans Reg"/>
          <w:szCs w:val="22"/>
        </w:rPr>
        <w:t xml:space="preserve">što </w:t>
      </w:r>
      <w:r w:rsidR="00046757" w:rsidRPr="003E4595">
        <w:rPr>
          <w:rFonts w:ascii="TyponineSans Reg" w:hAnsi="TyponineSans Reg"/>
          <w:szCs w:val="22"/>
        </w:rPr>
        <w:t xml:space="preserve">predstavlja smanjenje </w:t>
      </w:r>
      <w:r w:rsidRPr="003E4595">
        <w:rPr>
          <w:rFonts w:ascii="TyponineSans Reg" w:hAnsi="TyponineSans Reg"/>
          <w:szCs w:val="22"/>
        </w:rPr>
        <w:t>za 14</w:t>
      </w:r>
      <w:r w:rsidR="00F65F66" w:rsidRPr="003E4595">
        <w:rPr>
          <w:rFonts w:ascii="TyponineSans Reg" w:hAnsi="TyponineSans Reg"/>
          <w:szCs w:val="22"/>
        </w:rPr>
        <w:t>.687,81</w:t>
      </w:r>
      <w:r w:rsidRPr="003E4595">
        <w:rPr>
          <w:rFonts w:ascii="TyponineSans Reg" w:hAnsi="TyponineSans Reg"/>
          <w:szCs w:val="22"/>
        </w:rPr>
        <w:t xml:space="preserve"> EUR</w:t>
      </w:r>
      <w:r w:rsidR="00CA0C91">
        <w:rPr>
          <w:rFonts w:ascii="TyponineSans Reg" w:hAnsi="TyponineSans Reg"/>
          <w:szCs w:val="22"/>
        </w:rPr>
        <w:t xml:space="preserve"> odnosno 18,36% u odnosu na isto razdoblje prethodne godine</w:t>
      </w:r>
      <w:r w:rsidR="003E4595">
        <w:rPr>
          <w:rFonts w:ascii="TyponineSans Reg" w:hAnsi="TyponineSans Reg"/>
          <w:szCs w:val="22"/>
        </w:rPr>
        <w:t>.</w:t>
      </w:r>
    </w:p>
    <w:p w14:paraId="04FE7FFF" w14:textId="77777777" w:rsidR="00697490" w:rsidRPr="003E4595" w:rsidRDefault="00697490" w:rsidP="00697490">
      <w:pPr>
        <w:ind w:left="780"/>
        <w:jc w:val="both"/>
        <w:rPr>
          <w:rFonts w:ascii="TyponineSans Reg" w:hAnsi="TyponineSans Reg"/>
          <w:szCs w:val="22"/>
        </w:rPr>
      </w:pPr>
    </w:p>
    <w:p w14:paraId="7ADC7D48" w14:textId="77777777" w:rsidR="00E55CB5" w:rsidRPr="003E4595" w:rsidRDefault="00E55CB5" w:rsidP="00697490">
      <w:pPr>
        <w:ind w:left="780"/>
        <w:jc w:val="both"/>
        <w:rPr>
          <w:rFonts w:ascii="TyponineSans Reg" w:hAnsi="TyponineSans Reg"/>
          <w:szCs w:val="22"/>
        </w:rPr>
      </w:pPr>
    </w:p>
    <w:p w14:paraId="512B9005" w14:textId="2444A656" w:rsidR="00697490" w:rsidRPr="00C03E93" w:rsidRDefault="00697490" w:rsidP="00697490">
      <w:pPr>
        <w:numPr>
          <w:ilvl w:val="0"/>
          <w:numId w:val="12"/>
        </w:numPr>
        <w:jc w:val="both"/>
        <w:rPr>
          <w:rFonts w:ascii="TyponineSans Reg" w:hAnsi="TyponineSans Reg"/>
          <w:szCs w:val="22"/>
        </w:rPr>
      </w:pPr>
      <w:r w:rsidRPr="00C03E93">
        <w:rPr>
          <w:rFonts w:ascii="TyponineSans Reg" w:hAnsi="TyponineSans Reg"/>
          <w:szCs w:val="22"/>
        </w:rPr>
        <w:lastRenderedPageBreak/>
        <w:t xml:space="preserve">Rashodi za usluge u iznosu </w:t>
      </w:r>
      <w:r w:rsidR="00F270D5" w:rsidRPr="00C03E93">
        <w:rPr>
          <w:rFonts w:ascii="TyponineSans Reg" w:hAnsi="TyponineSans Reg"/>
          <w:szCs w:val="22"/>
        </w:rPr>
        <w:t>2.302.804,30</w:t>
      </w:r>
      <w:r w:rsidRPr="00C03E93">
        <w:rPr>
          <w:rFonts w:ascii="TyponineSans Reg" w:hAnsi="TyponineSans Reg"/>
          <w:szCs w:val="22"/>
        </w:rPr>
        <w:t xml:space="preserve"> </w:t>
      </w:r>
      <w:r w:rsidR="00C87716" w:rsidRPr="00C03E93">
        <w:rPr>
          <w:rFonts w:ascii="TyponineSans Reg" w:hAnsi="TyponineSans Reg"/>
          <w:szCs w:val="22"/>
        </w:rPr>
        <w:t>EUR</w:t>
      </w:r>
      <w:r w:rsidRPr="00C03E93">
        <w:rPr>
          <w:rFonts w:ascii="TyponineSans Reg" w:hAnsi="TyponineSans Reg"/>
          <w:szCs w:val="22"/>
        </w:rPr>
        <w:t xml:space="preserve"> veći su u odnosu na ostvarene u 202</w:t>
      </w:r>
      <w:r w:rsidR="00E90D63" w:rsidRPr="00C03E93">
        <w:rPr>
          <w:rFonts w:ascii="TyponineSans Reg" w:hAnsi="TyponineSans Reg"/>
          <w:szCs w:val="22"/>
        </w:rPr>
        <w:t>3</w:t>
      </w:r>
      <w:r w:rsidRPr="00C03E93">
        <w:rPr>
          <w:rFonts w:ascii="TyponineSans Reg" w:hAnsi="TyponineSans Reg"/>
          <w:szCs w:val="22"/>
        </w:rPr>
        <w:t xml:space="preserve">. godini za </w:t>
      </w:r>
      <w:r w:rsidR="0010336C" w:rsidRPr="00C03E93">
        <w:rPr>
          <w:rFonts w:ascii="TyponineSans Reg" w:hAnsi="TyponineSans Reg"/>
          <w:szCs w:val="22"/>
        </w:rPr>
        <w:t>183.217,90</w:t>
      </w:r>
      <w:r w:rsidRPr="00C03E93">
        <w:rPr>
          <w:rFonts w:ascii="TyponineSans Reg" w:hAnsi="TyponineSans Reg"/>
          <w:szCs w:val="22"/>
        </w:rPr>
        <w:t xml:space="preserve"> </w:t>
      </w:r>
      <w:r w:rsidR="00C87716" w:rsidRPr="00C03E93">
        <w:rPr>
          <w:rFonts w:ascii="TyponineSans Reg" w:hAnsi="TyponineSans Reg"/>
          <w:szCs w:val="22"/>
        </w:rPr>
        <w:t>EUR</w:t>
      </w:r>
      <w:r w:rsidRPr="00C03E93">
        <w:rPr>
          <w:rFonts w:ascii="TyponineSans Reg" w:hAnsi="TyponineSans Reg"/>
          <w:szCs w:val="22"/>
        </w:rPr>
        <w:t xml:space="preserve"> odnosno </w:t>
      </w:r>
      <w:r w:rsidR="0010336C" w:rsidRPr="00C03E93">
        <w:rPr>
          <w:rFonts w:ascii="TyponineSans Reg" w:hAnsi="TyponineSans Reg"/>
          <w:szCs w:val="22"/>
        </w:rPr>
        <w:t>8,64</w:t>
      </w:r>
      <w:r w:rsidRPr="00C03E93">
        <w:rPr>
          <w:rFonts w:ascii="TyponineSans Reg" w:hAnsi="TyponineSans Reg"/>
          <w:szCs w:val="22"/>
        </w:rPr>
        <w:t xml:space="preserve">%. </w:t>
      </w:r>
    </w:p>
    <w:p w14:paraId="13783C67" w14:textId="282CCF7C" w:rsidR="0018038F" w:rsidRPr="00C03E93" w:rsidRDefault="00BC38A7" w:rsidP="0018038F">
      <w:pPr>
        <w:ind w:left="780"/>
        <w:jc w:val="both"/>
        <w:rPr>
          <w:rFonts w:ascii="TyponineSans Reg" w:hAnsi="TyponineSans Reg"/>
          <w:szCs w:val="22"/>
        </w:rPr>
      </w:pPr>
      <w:r w:rsidRPr="00C03E93">
        <w:rPr>
          <w:rFonts w:ascii="TyponineSans Reg" w:hAnsi="TyponineSans Reg"/>
          <w:szCs w:val="22"/>
        </w:rPr>
        <w:t xml:space="preserve">Povećanje rashoda za usluge ostvareno je u stavkama usluga tekućeg i investicijskog održavanja za 199.028,25 EUR odnosno 21,49%, usluga promidžbe i informiranja u iznosu 9.325,81 EUR </w:t>
      </w:r>
      <w:r w:rsidR="00795EE8">
        <w:rPr>
          <w:rFonts w:ascii="TyponineSans Reg" w:hAnsi="TyponineSans Reg"/>
          <w:szCs w:val="22"/>
        </w:rPr>
        <w:t>odnosno</w:t>
      </w:r>
      <w:r w:rsidRPr="00C03E93">
        <w:rPr>
          <w:rFonts w:ascii="TyponineSans Reg" w:hAnsi="TyponineSans Reg"/>
          <w:szCs w:val="22"/>
        </w:rPr>
        <w:t xml:space="preserve"> 9,04%, komunalnih usluga u iznosu 21.771,55 EUR odnosno 10,19% i ostalih usluga 21.771,55 EUR odnosno 10,19% povećanja u odnosu na 2023. godinu.</w:t>
      </w:r>
    </w:p>
    <w:p w14:paraId="0F40EA1C" w14:textId="77777777" w:rsidR="00697490" w:rsidRPr="00C03E93" w:rsidRDefault="00697490" w:rsidP="00697490">
      <w:pPr>
        <w:ind w:left="780"/>
        <w:jc w:val="both"/>
        <w:rPr>
          <w:rFonts w:ascii="TyponineSans Reg" w:hAnsi="TyponineSans Reg"/>
          <w:szCs w:val="22"/>
        </w:rPr>
      </w:pPr>
      <w:r w:rsidRPr="00C03E93">
        <w:rPr>
          <w:rFonts w:ascii="TyponineSans Reg" w:hAnsi="TyponineSans Reg"/>
          <w:szCs w:val="22"/>
        </w:rPr>
        <w:t>Najznačajnije stavke  rashoda za usluge odnose se na:</w:t>
      </w:r>
    </w:p>
    <w:p w14:paraId="4861E2ED" w14:textId="004D6F6B" w:rsidR="00697490" w:rsidRPr="00C03E93" w:rsidRDefault="00697490" w:rsidP="00697490">
      <w:pPr>
        <w:ind w:left="780"/>
        <w:jc w:val="both"/>
        <w:rPr>
          <w:rFonts w:ascii="TyponineSans Reg" w:hAnsi="TyponineSans Reg"/>
          <w:szCs w:val="22"/>
        </w:rPr>
      </w:pPr>
      <w:r w:rsidRPr="00C03E93">
        <w:rPr>
          <w:rFonts w:ascii="TyponineSans Reg" w:hAnsi="TyponineSans Reg"/>
          <w:szCs w:val="22"/>
        </w:rPr>
        <w:t xml:space="preserve">- usluge tekućeg i investicijskog održavanja u iznosu </w:t>
      </w:r>
      <w:r w:rsidR="002669FE" w:rsidRPr="00C03E93">
        <w:rPr>
          <w:rFonts w:ascii="TyponineSans Reg" w:hAnsi="TyponineSans Reg"/>
          <w:szCs w:val="22"/>
        </w:rPr>
        <w:t>1.125.323,69</w:t>
      </w:r>
      <w:r w:rsidRPr="00C03E93">
        <w:rPr>
          <w:rFonts w:ascii="TyponineSans Reg" w:hAnsi="TyponineSans Reg"/>
          <w:szCs w:val="22"/>
        </w:rPr>
        <w:t xml:space="preserve"> </w:t>
      </w:r>
      <w:r w:rsidR="00C87716" w:rsidRPr="00C03E93">
        <w:rPr>
          <w:rFonts w:ascii="TyponineSans Reg" w:hAnsi="TyponineSans Reg"/>
          <w:szCs w:val="22"/>
        </w:rPr>
        <w:t>EUR</w:t>
      </w:r>
      <w:r w:rsidR="00C459A0" w:rsidRPr="00C03E93">
        <w:rPr>
          <w:rFonts w:ascii="TyponineSans Reg" w:hAnsi="TyponineSans Reg"/>
          <w:szCs w:val="22"/>
        </w:rPr>
        <w:t xml:space="preserve"> od čega </w:t>
      </w:r>
      <w:r w:rsidR="00BC38A7" w:rsidRPr="00C03E93">
        <w:rPr>
          <w:rFonts w:ascii="TyponineSans Reg" w:hAnsi="TyponineSans Reg"/>
          <w:szCs w:val="22"/>
        </w:rPr>
        <w:t xml:space="preserve">rashodi za </w:t>
      </w:r>
      <w:r w:rsidRPr="00C03E93">
        <w:rPr>
          <w:rFonts w:ascii="TyponineSans Reg" w:hAnsi="TyponineSans Reg"/>
          <w:szCs w:val="22"/>
        </w:rPr>
        <w:t xml:space="preserve">održavanje građevinskih objekata </w:t>
      </w:r>
      <w:r w:rsidR="00BC38A7" w:rsidRPr="00C03E93">
        <w:rPr>
          <w:rFonts w:ascii="TyponineSans Reg" w:hAnsi="TyponineSans Reg"/>
          <w:szCs w:val="22"/>
        </w:rPr>
        <w:t>iznos</w:t>
      </w:r>
      <w:r w:rsidR="00C459A0" w:rsidRPr="00C03E93">
        <w:rPr>
          <w:rFonts w:ascii="TyponineSans Reg" w:hAnsi="TyponineSans Reg"/>
          <w:szCs w:val="22"/>
        </w:rPr>
        <w:t>e</w:t>
      </w:r>
      <w:r w:rsidR="00BC38A7" w:rsidRPr="00C03E93">
        <w:rPr>
          <w:rFonts w:ascii="TyponineSans Reg" w:hAnsi="TyponineSans Reg"/>
          <w:szCs w:val="22"/>
        </w:rPr>
        <w:t xml:space="preserve"> </w:t>
      </w:r>
      <w:r w:rsidR="00C459A0" w:rsidRPr="00C03E93">
        <w:rPr>
          <w:rFonts w:ascii="TyponineSans Reg" w:hAnsi="TyponineSans Reg"/>
          <w:szCs w:val="22"/>
        </w:rPr>
        <w:t>296.578,01 EUR</w:t>
      </w:r>
      <w:r w:rsidRPr="00C03E93">
        <w:rPr>
          <w:rFonts w:ascii="TyponineSans Reg" w:hAnsi="TyponineSans Reg"/>
          <w:szCs w:val="22"/>
        </w:rPr>
        <w:t>, usluge tekućeg i investici</w:t>
      </w:r>
      <w:r w:rsidR="004B0B67">
        <w:rPr>
          <w:rFonts w:ascii="TyponineSans Reg" w:hAnsi="TyponineSans Reg"/>
          <w:szCs w:val="22"/>
        </w:rPr>
        <w:t>jsk</w:t>
      </w:r>
      <w:r w:rsidRPr="00C03E93">
        <w:rPr>
          <w:rFonts w:ascii="TyponineSans Reg" w:hAnsi="TyponineSans Reg"/>
          <w:szCs w:val="22"/>
        </w:rPr>
        <w:t>og održavanja postrojenja i opreme 1</w:t>
      </w:r>
      <w:r w:rsidR="00C459A0" w:rsidRPr="00C03E93">
        <w:rPr>
          <w:rFonts w:ascii="TyponineSans Reg" w:hAnsi="TyponineSans Reg"/>
          <w:szCs w:val="22"/>
        </w:rPr>
        <w:t>9</w:t>
      </w:r>
      <w:r w:rsidRPr="00C03E93">
        <w:rPr>
          <w:rFonts w:ascii="TyponineSans Reg" w:hAnsi="TyponineSans Reg"/>
          <w:szCs w:val="22"/>
        </w:rPr>
        <w:t>7.</w:t>
      </w:r>
      <w:r w:rsidR="00C459A0" w:rsidRPr="00C03E93">
        <w:rPr>
          <w:rFonts w:ascii="TyponineSans Reg" w:hAnsi="TyponineSans Reg"/>
          <w:szCs w:val="22"/>
        </w:rPr>
        <w:t xml:space="preserve">233,08 </w:t>
      </w:r>
      <w:r w:rsidR="00C87716" w:rsidRPr="00C03E93">
        <w:rPr>
          <w:rFonts w:ascii="TyponineSans Reg" w:hAnsi="TyponineSans Reg"/>
          <w:szCs w:val="22"/>
        </w:rPr>
        <w:t>EUR</w:t>
      </w:r>
      <w:r w:rsidR="00C459A0" w:rsidRPr="00C03E93">
        <w:rPr>
          <w:rFonts w:ascii="TyponineSans Reg" w:hAnsi="TyponineSans Reg"/>
          <w:szCs w:val="22"/>
        </w:rPr>
        <w:t>,</w:t>
      </w:r>
      <w:r w:rsidR="00275243" w:rsidRPr="00C03E93">
        <w:rPr>
          <w:rFonts w:ascii="TyponineSans Reg" w:hAnsi="TyponineSans Reg"/>
          <w:szCs w:val="22"/>
        </w:rPr>
        <w:t xml:space="preserve"> </w:t>
      </w:r>
      <w:r w:rsidR="00C459A0" w:rsidRPr="00C03E93">
        <w:rPr>
          <w:rFonts w:ascii="TyponineSans Reg" w:hAnsi="TyponineSans Reg"/>
          <w:szCs w:val="22"/>
        </w:rPr>
        <w:t xml:space="preserve">usluge tekućeg i investicijskog održavanja </w:t>
      </w:r>
      <w:r w:rsidRPr="00C03E93">
        <w:rPr>
          <w:rFonts w:ascii="TyponineSans Reg" w:hAnsi="TyponineSans Reg"/>
          <w:szCs w:val="22"/>
        </w:rPr>
        <w:t xml:space="preserve">prijevoznih sredstava </w:t>
      </w:r>
      <w:r w:rsidR="00C459A0" w:rsidRPr="00C03E93">
        <w:rPr>
          <w:rFonts w:ascii="TyponineSans Reg" w:hAnsi="TyponineSans Reg"/>
          <w:szCs w:val="22"/>
        </w:rPr>
        <w:t>267.584,39</w:t>
      </w:r>
      <w:r w:rsidRPr="00C03E93">
        <w:rPr>
          <w:rFonts w:ascii="TyponineSans Reg" w:hAnsi="TyponineSans Reg"/>
          <w:szCs w:val="22"/>
        </w:rPr>
        <w:t xml:space="preserve"> </w:t>
      </w:r>
      <w:r w:rsidR="00C87716" w:rsidRPr="00C03E93">
        <w:rPr>
          <w:rFonts w:ascii="TyponineSans Reg" w:hAnsi="TyponineSans Reg"/>
          <w:szCs w:val="22"/>
        </w:rPr>
        <w:t>EUR</w:t>
      </w:r>
      <w:r w:rsidR="00C459A0" w:rsidRPr="00C03E93">
        <w:rPr>
          <w:rFonts w:ascii="TyponineSans Reg" w:hAnsi="TyponineSans Reg"/>
          <w:szCs w:val="22"/>
        </w:rPr>
        <w:t xml:space="preserve"> i ostale usluge tekućeg i investicijskog održavanja 363.928,21</w:t>
      </w:r>
      <w:r w:rsidRPr="00C03E93">
        <w:rPr>
          <w:rFonts w:ascii="TyponineSans Reg" w:hAnsi="TyponineSans Reg"/>
          <w:szCs w:val="22"/>
        </w:rPr>
        <w:t>.</w:t>
      </w:r>
      <w:r w:rsidR="00183591" w:rsidRPr="00C03E93">
        <w:rPr>
          <w:rFonts w:ascii="TyponineSans Reg" w:hAnsi="TyponineSans Reg"/>
          <w:szCs w:val="22"/>
        </w:rPr>
        <w:t xml:space="preserve"> Rashode o</w:t>
      </w:r>
      <w:r w:rsidRPr="00C03E93">
        <w:rPr>
          <w:rFonts w:ascii="TyponineSans Reg" w:hAnsi="TyponineSans Reg"/>
          <w:szCs w:val="22"/>
        </w:rPr>
        <w:t>državanj</w:t>
      </w:r>
      <w:r w:rsidR="00183591" w:rsidRPr="00C03E93">
        <w:rPr>
          <w:rFonts w:ascii="TyponineSans Reg" w:hAnsi="TyponineSans Reg"/>
          <w:szCs w:val="22"/>
        </w:rPr>
        <w:t>a</w:t>
      </w:r>
      <w:r w:rsidRPr="00C03E93">
        <w:rPr>
          <w:rFonts w:ascii="TyponineSans Reg" w:hAnsi="TyponineSans Reg"/>
          <w:szCs w:val="22"/>
        </w:rPr>
        <w:t xml:space="preserve"> građevinskih objekata </w:t>
      </w:r>
      <w:r w:rsidR="00183591" w:rsidRPr="00C03E93">
        <w:rPr>
          <w:rFonts w:ascii="TyponineSans Reg" w:hAnsi="TyponineSans Reg"/>
          <w:szCs w:val="22"/>
        </w:rPr>
        <w:t xml:space="preserve">čine zidarski i završni radovi uređenja soba u Hotelu Neptun, </w:t>
      </w:r>
      <w:r w:rsidRPr="00C03E93">
        <w:rPr>
          <w:rFonts w:ascii="TyponineSans Reg" w:hAnsi="TyponineSans Reg"/>
          <w:szCs w:val="22"/>
        </w:rPr>
        <w:t>radov</w:t>
      </w:r>
      <w:r w:rsidR="00183591" w:rsidRPr="00C03E93">
        <w:rPr>
          <w:rFonts w:ascii="TyponineSans Reg" w:hAnsi="TyponineSans Reg"/>
          <w:szCs w:val="22"/>
        </w:rPr>
        <w:t>i na</w:t>
      </w:r>
      <w:r w:rsidRPr="00C03E93">
        <w:rPr>
          <w:rFonts w:ascii="TyponineSans Reg" w:hAnsi="TyponineSans Reg"/>
          <w:szCs w:val="22"/>
        </w:rPr>
        <w:t xml:space="preserve"> sanacij</w:t>
      </w:r>
      <w:r w:rsidR="00183591" w:rsidRPr="00C03E93">
        <w:rPr>
          <w:rFonts w:ascii="TyponineSans Reg" w:hAnsi="TyponineSans Reg"/>
          <w:szCs w:val="22"/>
        </w:rPr>
        <w:t>i</w:t>
      </w:r>
      <w:r w:rsidRPr="00C03E93">
        <w:rPr>
          <w:rFonts w:ascii="TyponineSans Reg" w:hAnsi="TyponineSans Reg"/>
          <w:szCs w:val="22"/>
        </w:rPr>
        <w:t xml:space="preserve"> Torpedo baterije </w:t>
      </w:r>
      <w:r w:rsidR="00183591" w:rsidRPr="00C03E93">
        <w:rPr>
          <w:rFonts w:ascii="TyponineSans Reg" w:hAnsi="TyponineSans Reg"/>
          <w:szCs w:val="22"/>
        </w:rPr>
        <w:t>na Malom Brijunu za što su dobivena sreds</w:t>
      </w:r>
      <w:r w:rsidR="00275243" w:rsidRPr="00C03E93">
        <w:rPr>
          <w:rFonts w:ascii="TyponineSans Reg" w:hAnsi="TyponineSans Reg"/>
          <w:szCs w:val="22"/>
        </w:rPr>
        <w:t>t</w:t>
      </w:r>
      <w:r w:rsidR="00183591" w:rsidRPr="00C03E93">
        <w:rPr>
          <w:rFonts w:ascii="TyponineSans Reg" w:hAnsi="TyponineSans Reg"/>
          <w:szCs w:val="22"/>
        </w:rPr>
        <w:t>va Ministarstva kulture i medija</w:t>
      </w:r>
      <w:r w:rsidR="00566183" w:rsidRPr="00C03E93">
        <w:rPr>
          <w:rFonts w:ascii="TyponineSans Reg" w:hAnsi="TyponineSans Reg"/>
          <w:szCs w:val="22"/>
        </w:rPr>
        <w:t>,</w:t>
      </w:r>
      <w:r w:rsidR="00183591" w:rsidRPr="00C03E93">
        <w:rPr>
          <w:rFonts w:ascii="TyponineSans Reg" w:hAnsi="TyponineSans Reg"/>
          <w:szCs w:val="22"/>
        </w:rPr>
        <w:t xml:space="preserve"> ugradnja opreme za dizalo </w:t>
      </w:r>
      <w:r w:rsidR="00566183" w:rsidRPr="00C03E93">
        <w:rPr>
          <w:rFonts w:ascii="TyponineSans Reg" w:hAnsi="TyponineSans Reg"/>
          <w:szCs w:val="22"/>
        </w:rPr>
        <w:t>hotela Neptun i</w:t>
      </w:r>
      <w:r w:rsidRPr="00C03E93">
        <w:rPr>
          <w:rFonts w:ascii="TyponineSans Reg" w:hAnsi="TyponineSans Reg"/>
          <w:szCs w:val="22"/>
        </w:rPr>
        <w:t xml:space="preserve"> druga manje značajna ulaganja u građevinske objekte.</w:t>
      </w:r>
    </w:p>
    <w:p w14:paraId="6E4B851F" w14:textId="193CF0B1" w:rsidR="00697490" w:rsidRPr="00C03E93" w:rsidRDefault="00697490" w:rsidP="00697490">
      <w:pPr>
        <w:ind w:left="780"/>
        <w:jc w:val="both"/>
        <w:rPr>
          <w:rFonts w:ascii="TyponineSans Reg" w:hAnsi="TyponineSans Reg"/>
          <w:szCs w:val="22"/>
        </w:rPr>
      </w:pPr>
      <w:r w:rsidRPr="00C03E93">
        <w:rPr>
          <w:rFonts w:ascii="TyponineSans Reg" w:hAnsi="TyponineSans Reg"/>
          <w:szCs w:val="22"/>
        </w:rPr>
        <w:t xml:space="preserve">Pojedinačno najveći troškovi za održavanje opreme odnose se na troškove </w:t>
      </w:r>
      <w:r w:rsidR="00275243" w:rsidRPr="00C03E93">
        <w:rPr>
          <w:rFonts w:ascii="TyponineSans Reg" w:hAnsi="TyponineSans Reg"/>
          <w:szCs w:val="22"/>
        </w:rPr>
        <w:t xml:space="preserve">održavanja internetskog </w:t>
      </w:r>
      <w:r w:rsidRPr="00C03E93">
        <w:rPr>
          <w:rFonts w:ascii="TyponineSans Reg" w:hAnsi="TyponineSans Reg"/>
          <w:szCs w:val="22"/>
        </w:rPr>
        <w:t>sustava, servise kompresora i klima uređaja</w:t>
      </w:r>
      <w:r w:rsidR="00275243" w:rsidRPr="00C03E93">
        <w:rPr>
          <w:rFonts w:ascii="TyponineSans Reg" w:hAnsi="TyponineSans Reg"/>
          <w:szCs w:val="22"/>
        </w:rPr>
        <w:t xml:space="preserve"> i</w:t>
      </w:r>
      <w:r w:rsidRPr="00C03E93">
        <w:rPr>
          <w:rFonts w:ascii="TyponineSans Reg" w:hAnsi="TyponineSans Reg"/>
          <w:szCs w:val="22"/>
        </w:rPr>
        <w:t xml:space="preserve"> održavanje ugostiteljske opreme. Rashodi održavanja prijevoznih sredstava odnose na troškove remonta i dodatnih radova m/t </w:t>
      </w:r>
      <w:r w:rsidR="00B32A2D" w:rsidRPr="00C03E93">
        <w:rPr>
          <w:rFonts w:ascii="TyponineSans Reg" w:hAnsi="TyponineSans Reg"/>
          <w:szCs w:val="22"/>
        </w:rPr>
        <w:t xml:space="preserve">Supin </w:t>
      </w:r>
      <w:r w:rsidRPr="00C03E93">
        <w:rPr>
          <w:rFonts w:ascii="TyponineSans Reg" w:hAnsi="TyponineSans Reg"/>
          <w:szCs w:val="22"/>
        </w:rPr>
        <w:t xml:space="preserve">u iznosu </w:t>
      </w:r>
      <w:r w:rsidR="00EF489E" w:rsidRPr="00C03E93">
        <w:rPr>
          <w:rFonts w:ascii="TyponineSans Reg" w:hAnsi="TyponineSans Reg"/>
          <w:szCs w:val="22"/>
        </w:rPr>
        <w:t>1</w:t>
      </w:r>
      <w:r w:rsidR="00D87D9A" w:rsidRPr="00C03E93">
        <w:rPr>
          <w:rFonts w:ascii="TyponineSans Reg" w:hAnsi="TyponineSans Reg"/>
          <w:szCs w:val="22"/>
        </w:rPr>
        <w:t>11</w:t>
      </w:r>
      <w:r w:rsidR="00B32A2D" w:rsidRPr="00C03E93">
        <w:rPr>
          <w:rFonts w:ascii="TyponineSans Reg" w:hAnsi="TyponineSans Reg"/>
          <w:szCs w:val="22"/>
        </w:rPr>
        <w:t>.78</w:t>
      </w:r>
      <w:r w:rsidR="00D87D9A" w:rsidRPr="00C03E93">
        <w:rPr>
          <w:rFonts w:ascii="TyponineSans Reg" w:hAnsi="TyponineSans Reg"/>
          <w:szCs w:val="22"/>
        </w:rPr>
        <w:t>7</w:t>
      </w:r>
      <w:r w:rsidR="00B32A2D" w:rsidRPr="00C03E93">
        <w:rPr>
          <w:rFonts w:ascii="TyponineSans Reg" w:hAnsi="TyponineSans Reg"/>
          <w:szCs w:val="22"/>
        </w:rPr>
        <w:t>,</w:t>
      </w:r>
      <w:r w:rsidR="00D87D9A" w:rsidRPr="00C03E93">
        <w:rPr>
          <w:rFonts w:ascii="TyponineSans Reg" w:hAnsi="TyponineSans Reg"/>
          <w:szCs w:val="22"/>
        </w:rPr>
        <w:t>84</w:t>
      </w:r>
      <w:r w:rsidRPr="00C03E93">
        <w:rPr>
          <w:rFonts w:ascii="TyponineSans Reg" w:hAnsi="TyponineSans Reg"/>
          <w:szCs w:val="22"/>
        </w:rPr>
        <w:t xml:space="preserve"> </w:t>
      </w:r>
      <w:r w:rsidR="00C87716" w:rsidRPr="00C03E93">
        <w:rPr>
          <w:rFonts w:ascii="TyponineSans Reg" w:hAnsi="TyponineSans Reg"/>
          <w:szCs w:val="22"/>
        </w:rPr>
        <w:t>EUR</w:t>
      </w:r>
      <w:r w:rsidRPr="00C03E93">
        <w:rPr>
          <w:rFonts w:ascii="TyponineSans Reg" w:hAnsi="TyponineSans Reg"/>
          <w:szCs w:val="22"/>
        </w:rPr>
        <w:t>, održavanja m/b</w:t>
      </w:r>
      <w:r w:rsidR="00B32A2D" w:rsidRPr="00C03E93">
        <w:rPr>
          <w:rFonts w:ascii="TyponineSans Reg" w:hAnsi="TyponineSans Reg"/>
          <w:szCs w:val="22"/>
        </w:rPr>
        <w:t xml:space="preserve"> Veli Brijun </w:t>
      </w:r>
      <w:r w:rsidR="00591408" w:rsidRPr="00C03E93">
        <w:rPr>
          <w:rFonts w:ascii="TyponineSans Reg" w:hAnsi="TyponineSans Reg"/>
          <w:szCs w:val="22"/>
        </w:rPr>
        <w:t>u iznosu</w:t>
      </w:r>
      <w:r w:rsidR="001B501A" w:rsidRPr="00C03E93">
        <w:rPr>
          <w:rFonts w:ascii="TyponineSans Reg" w:hAnsi="TyponineSans Reg"/>
          <w:szCs w:val="22"/>
        </w:rPr>
        <w:t xml:space="preserve"> 33.995,44 EUR,</w:t>
      </w:r>
      <w:r w:rsidR="00B32A2D" w:rsidRPr="00C03E93">
        <w:rPr>
          <w:rFonts w:ascii="TyponineSans Reg" w:hAnsi="TyponineSans Reg"/>
          <w:szCs w:val="22"/>
        </w:rPr>
        <w:t xml:space="preserve"> </w:t>
      </w:r>
      <w:r w:rsidRPr="00C03E93">
        <w:rPr>
          <w:rFonts w:ascii="TyponineSans Reg" w:hAnsi="TyponineSans Reg"/>
          <w:szCs w:val="22"/>
        </w:rPr>
        <w:t xml:space="preserve">Mali Brijun </w:t>
      </w:r>
      <w:r w:rsidR="00224A7A" w:rsidRPr="00C03E93">
        <w:rPr>
          <w:rFonts w:ascii="TyponineSans Reg" w:hAnsi="TyponineSans Reg"/>
          <w:szCs w:val="22"/>
        </w:rPr>
        <w:t>u iznosu 30.</w:t>
      </w:r>
      <w:r w:rsidR="00D87D9A" w:rsidRPr="00C03E93">
        <w:rPr>
          <w:rFonts w:ascii="TyponineSans Reg" w:hAnsi="TyponineSans Reg"/>
          <w:szCs w:val="22"/>
        </w:rPr>
        <w:t>944,89</w:t>
      </w:r>
      <w:r w:rsidR="00224A7A" w:rsidRPr="00C03E93">
        <w:rPr>
          <w:rFonts w:ascii="TyponineSans Reg" w:hAnsi="TyponineSans Reg"/>
          <w:szCs w:val="22"/>
        </w:rPr>
        <w:t xml:space="preserve"> EUR </w:t>
      </w:r>
      <w:r w:rsidR="00B32A2D" w:rsidRPr="00C03E93">
        <w:rPr>
          <w:rFonts w:ascii="TyponineSans Reg" w:hAnsi="TyponineSans Reg"/>
          <w:szCs w:val="22"/>
        </w:rPr>
        <w:t>i</w:t>
      </w:r>
      <w:r w:rsidRPr="00C03E93">
        <w:rPr>
          <w:rFonts w:ascii="TyponineSans Reg" w:hAnsi="TyponineSans Reg"/>
          <w:szCs w:val="22"/>
        </w:rPr>
        <w:t xml:space="preserve"> servise ostalih plovila, vlakova, elektromobila i ostalih nenavedenih prijevoznih sredstava u iznosu </w:t>
      </w:r>
      <w:r w:rsidR="00D87D9A" w:rsidRPr="00C03E93">
        <w:rPr>
          <w:rFonts w:ascii="TyponineSans Reg" w:hAnsi="TyponineSans Reg"/>
          <w:szCs w:val="22"/>
        </w:rPr>
        <w:t>85.392,94</w:t>
      </w:r>
      <w:r w:rsidRPr="00C03E93">
        <w:rPr>
          <w:rFonts w:ascii="TyponineSans Reg" w:hAnsi="TyponineSans Reg"/>
          <w:szCs w:val="22"/>
        </w:rPr>
        <w:t xml:space="preserve"> </w:t>
      </w:r>
      <w:r w:rsidR="00C87716" w:rsidRPr="00C03E93">
        <w:rPr>
          <w:rFonts w:ascii="TyponineSans Reg" w:hAnsi="TyponineSans Reg"/>
          <w:szCs w:val="22"/>
        </w:rPr>
        <w:t>EUR</w:t>
      </w:r>
      <w:r w:rsidRPr="00C03E93">
        <w:rPr>
          <w:rFonts w:ascii="TyponineSans Reg" w:hAnsi="TyponineSans Reg"/>
          <w:szCs w:val="22"/>
        </w:rPr>
        <w:t>.</w:t>
      </w:r>
      <w:r w:rsidR="00B70571" w:rsidRPr="00C03E93">
        <w:rPr>
          <w:rFonts w:ascii="TyponineSans Reg" w:hAnsi="TyponineSans Reg"/>
          <w:szCs w:val="22"/>
        </w:rPr>
        <w:t xml:space="preserve"> </w:t>
      </w:r>
      <w:r w:rsidR="00CD2730" w:rsidRPr="00C03E93">
        <w:rPr>
          <w:rFonts w:ascii="TyponineSans Reg" w:hAnsi="TyponineSans Reg"/>
          <w:szCs w:val="22"/>
        </w:rPr>
        <w:t>Ostale usluge tekućeg i investicijskog održavanja u iznosu 363.928,21 EUR odnose se na sanaciju postojećih puteva i prometnica na Velikom Brijunu sufinanciranim sredstvima Fonda za zaštitu okoliša i energetsku učinkovitost.</w:t>
      </w:r>
    </w:p>
    <w:p w14:paraId="623EED19" w14:textId="78D3F624" w:rsidR="00697490" w:rsidRPr="00C03E93" w:rsidRDefault="00697490" w:rsidP="00697490">
      <w:pPr>
        <w:ind w:left="780"/>
        <w:jc w:val="both"/>
        <w:rPr>
          <w:rFonts w:ascii="TyponineSans Reg" w:hAnsi="TyponineSans Reg"/>
          <w:szCs w:val="22"/>
        </w:rPr>
      </w:pPr>
      <w:r w:rsidRPr="00C03E93">
        <w:rPr>
          <w:rFonts w:ascii="TyponineSans Reg" w:hAnsi="TyponineSans Reg"/>
          <w:szCs w:val="22"/>
        </w:rPr>
        <w:t xml:space="preserve">- rashodi za komunalne usluge ostvareni su u iznosu od </w:t>
      </w:r>
      <w:r w:rsidR="00043056" w:rsidRPr="00C03E93">
        <w:rPr>
          <w:rFonts w:ascii="TyponineSans Reg" w:hAnsi="TyponineSans Reg"/>
          <w:szCs w:val="22"/>
        </w:rPr>
        <w:t>333.936,46</w:t>
      </w:r>
      <w:r w:rsidRPr="00C03E93">
        <w:rPr>
          <w:rFonts w:ascii="TyponineSans Reg" w:hAnsi="TyponineSans Reg"/>
          <w:szCs w:val="22"/>
        </w:rPr>
        <w:t xml:space="preserve"> </w:t>
      </w:r>
      <w:r w:rsidR="00C87716" w:rsidRPr="00C03E93">
        <w:rPr>
          <w:rFonts w:ascii="TyponineSans Reg" w:hAnsi="TyponineSans Reg"/>
          <w:szCs w:val="22"/>
        </w:rPr>
        <w:t>EUR</w:t>
      </w:r>
      <w:r w:rsidRPr="00C03E93">
        <w:rPr>
          <w:rFonts w:ascii="TyponineSans Reg" w:hAnsi="TyponineSans Reg"/>
          <w:szCs w:val="22"/>
        </w:rPr>
        <w:t xml:space="preserve"> </w:t>
      </w:r>
      <w:r w:rsidR="00DB2695" w:rsidRPr="00C03E93">
        <w:rPr>
          <w:rFonts w:ascii="TyponineSans Reg" w:hAnsi="TyponineSans Reg"/>
          <w:szCs w:val="22"/>
        </w:rPr>
        <w:t xml:space="preserve">i </w:t>
      </w:r>
      <w:r w:rsidRPr="00C03E93">
        <w:rPr>
          <w:rFonts w:ascii="TyponineSans Reg" w:hAnsi="TyponineSans Reg"/>
          <w:szCs w:val="22"/>
        </w:rPr>
        <w:t xml:space="preserve">porasli su za </w:t>
      </w:r>
      <w:r w:rsidR="00DB2695" w:rsidRPr="00C03E93">
        <w:rPr>
          <w:rFonts w:ascii="TyponineSans Reg" w:hAnsi="TyponineSans Reg"/>
          <w:szCs w:val="22"/>
        </w:rPr>
        <w:t>1,21%</w:t>
      </w:r>
      <w:r w:rsidRPr="00C03E93">
        <w:rPr>
          <w:rFonts w:ascii="TyponineSans Reg" w:hAnsi="TyponineSans Reg"/>
          <w:szCs w:val="22"/>
        </w:rPr>
        <w:t xml:space="preserve"> odnosno za 3.</w:t>
      </w:r>
      <w:r w:rsidR="00DB2695" w:rsidRPr="00C03E93">
        <w:rPr>
          <w:rFonts w:ascii="TyponineSans Reg" w:hAnsi="TyponineSans Reg"/>
          <w:szCs w:val="22"/>
        </w:rPr>
        <w:t>985,06</w:t>
      </w:r>
      <w:r w:rsidRPr="00C03E93">
        <w:rPr>
          <w:rFonts w:ascii="TyponineSans Reg" w:hAnsi="TyponineSans Reg"/>
          <w:szCs w:val="22"/>
        </w:rPr>
        <w:t xml:space="preserve"> </w:t>
      </w:r>
      <w:r w:rsidR="00C87716" w:rsidRPr="00C03E93">
        <w:rPr>
          <w:rFonts w:ascii="TyponineSans Reg" w:hAnsi="TyponineSans Reg"/>
          <w:szCs w:val="22"/>
        </w:rPr>
        <w:t>EUR</w:t>
      </w:r>
      <w:r w:rsidRPr="00C03E93">
        <w:rPr>
          <w:rFonts w:ascii="TyponineSans Reg" w:hAnsi="TyponineSans Reg"/>
          <w:szCs w:val="22"/>
        </w:rPr>
        <w:t xml:space="preserve"> u odnosu na prethodnu godinu</w:t>
      </w:r>
      <w:r w:rsidR="00DB2695" w:rsidRPr="00C03E93">
        <w:rPr>
          <w:rFonts w:ascii="TyponineSans Reg" w:hAnsi="TyponineSans Reg"/>
          <w:szCs w:val="22"/>
        </w:rPr>
        <w:t>.</w:t>
      </w:r>
      <w:r w:rsidRPr="00C03E93">
        <w:rPr>
          <w:rFonts w:ascii="TyponineSans Reg" w:hAnsi="TyponineSans Reg"/>
          <w:szCs w:val="22"/>
        </w:rPr>
        <w:t xml:space="preserve"> </w:t>
      </w:r>
    </w:p>
    <w:p w14:paraId="231AB538" w14:textId="3E9A3DAC" w:rsidR="00697490" w:rsidRPr="00C03E93" w:rsidRDefault="00697490" w:rsidP="00697490">
      <w:pPr>
        <w:ind w:left="780"/>
        <w:jc w:val="both"/>
        <w:rPr>
          <w:rFonts w:ascii="TyponineSans Reg" w:hAnsi="TyponineSans Reg"/>
          <w:szCs w:val="22"/>
        </w:rPr>
      </w:pPr>
      <w:r w:rsidRPr="00C03E93">
        <w:rPr>
          <w:rFonts w:ascii="TyponineSans Reg" w:hAnsi="TyponineSans Reg"/>
          <w:szCs w:val="22"/>
        </w:rPr>
        <w:t xml:space="preserve">- rashodi za zdravstvene i veterinarske usluge ostvarene su u iznosu </w:t>
      </w:r>
      <w:r w:rsidR="00DB2695" w:rsidRPr="00C03E93">
        <w:rPr>
          <w:rFonts w:ascii="TyponineSans Reg" w:hAnsi="TyponineSans Reg"/>
          <w:szCs w:val="22"/>
        </w:rPr>
        <w:t>31.530,66</w:t>
      </w:r>
      <w:r w:rsidRPr="00C03E93">
        <w:rPr>
          <w:rFonts w:ascii="TyponineSans Reg" w:hAnsi="TyponineSans Reg"/>
          <w:szCs w:val="22"/>
        </w:rPr>
        <w:t xml:space="preserve"> </w:t>
      </w:r>
      <w:r w:rsidR="00C87716" w:rsidRPr="00C03E93">
        <w:rPr>
          <w:rFonts w:ascii="TyponineSans Reg" w:hAnsi="TyponineSans Reg"/>
          <w:szCs w:val="22"/>
        </w:rPr>
        <w:t>EUR</w:t>
      </w:r>
      <w:r w:rsidRPr="00C03E93">
        <w:rPr>
          <w:rFonts w:ascii="TyponineSans Reg" w:hAnsi="TyponineSans Reg"/>
          <w:szCs w:val="22"/>
        </w:rPr>
        <w:t xml:space="preserve"> </w:t>
      </w:r>
      <w:r w:rsidR="00DB2695" w:rsidRPr="00C03E93">
        <w:rPr>
          <w:rFonts w:ascii="TyponineSans Reg" w:hAnsi="TyponineSans Reg"/>
          <w:szCs w:val="22"/>
        </w:rPr>
        <w:t>i smanjeni su za 5,99</w:t>
      </w:r>
      <w:r w:rsidRPr="00C03E93">
        <w:rPr>
          <w:rFonts w:ascii="TyponineSans Reg" w:hAnsi="TyponineSans Reg"/>
          <w:szCs w:val="22"/>
        </w:rPr>
        <w:t xml:space="preserve">%, odnosno </w:t>
      </w:r>
      <w:r w:rsidR="00DB2695" w:rsidRPr="00C03E93">
        <w:rPr>
          <w:rFonts w:ascii="TyponineSans Reg" w:hAnsi="TyponineSans Reg"/>
          <w:szCs w:val="22"/>
        </w:rPr>
        <w:t>2.009,41</w:t>
      </w:r>
      <w:r w:rsidRPr="00C03E93">
        <w:rPr>
          <w:rFonts w:ascii="TyponineSans Reg" w:hAnsi="TyponineSans Reg"/>
          <w:szCs w:val="22"/>
        </w:rPr>
        <w:t xml:space="preserve"> </w:t>
      </w:r>
      <w:r w:rsidR="00C87716" w:rsidRPr="00C03E93">
        <w:rPr>
          <w:rFonts w:ascii="TyponineSans Reg" w:hAnsi="TyponineSans Reg"/>
          <w:szCs w:val="22"/>
        </w:rPr>
        <w:t>EUR</w:t>
      </w:r>
      <w:r w:rsidRPr="00C03E93">
        <w:rPr>
          <w:rFonts w:ascii="TyponineSans Reg" w:hAnsi="TyponineSans Reg"/>
          <w:szCs w:val="22"/>
        </w:rPr>
        <w:t xml:space="preserve"> u odnosu na prethodnu godinu.</w:t>
      </w:r>
    </w:p>
    <w:p w14:paraId="2B349277" w14:textId="14FA970D" w:rsidR="00095224" w:rsidRPr="00C03E93" w:rsidRDefault="00697490" w:rsidP="00697490">
      <w:pPr>
        <w:ind w:left="780"/>
        <w:jc w:val="both"/>
        <w:rPr>
          <w:rFonts w:ascii="TyponineSans Reg" w:hAnsi="TyponineSans Reg"/>
          <w:szCs w:val="22"/>
        </w:rPr>
      </w:pPr>
      <w:r w:rsidRPr="00C03E93">
        <w:rPr>
          <w:rFonts w:ascii="TyponineSans Reg" w:hAnsi="TyponineSans Reg"/>
          <w:szCs w:val="22"/>
        </w:rPr>
        <w:t>- rashodi za računalne usluge ostvaren</w:t>
      </w:r>
      <w:r w:rsidR="00E3293C">
        <w:rPr>
          <w:rFonts w:ascii="TyponineSans Reg" w:hAnsi="TyponineSans Reg"/>
          <w:szCs w:val="22"/>
        </w:rPr>
        <w:t>i</w:t>
      </w:r>
      <w:r w:rsidRPr="00C03E93">
        <w:rPr>
          <w:rFonts w:ascii="TyponineSans Reg" w:hAnsi="TyponineSans Reg"/>
          <w:szCs w:val="22"/>
        </w:rPr>
        <w:t xml:space="preserve"> su u iznosu 1</w:t>
      </w:r>
      <w:r w:rsidR="00DB2695" w:rsidRPr="00C03E93">
        <w:rPr>
          <w:rFonts w:ascii="TyponineSans Reg" w:hAnsi="TyponineSans Reg"/>
          <w:szCs w:val="22"/>
        </w:rPr>
        <w:t>33.257,73</w:t>
      </w:r>
      <w:r w:rsidRPr="00C03E93">
        <w:rPr>
          <w:rFonts w:ascii="TyponineSans Reg" w:hAnsi="TyponineSans Reg"/>
          <w:szCs w:val="22"/>
        </w:rPr>
        <w:t xml:space="preserve"> </w:t>
      </w:r>
      <w:r w:rsidR="00C87716" w:rsidRPr="00C03E93">
        <w:rPr>
          <w:rFonts w:ascii="TyponineSans Reg" w:hAnsi="TyponineSans Reg"/>
          <w:szCs w:val="22"/>
        </w:rPr>
        <w:t>EUR</w:t>
      </w:r>
      <w:r w:rsidR="00E3293C">
        <w:rPr>
          <w:rFonts w:ascii="TyponineSans Reg" w:hAnsi="TyponineSans Reg"/>
          <w:szCs w:val="22"/>
        </w:rPr>
        <w:t xml:space="preserve"> i smanjeni su za 8,40% odnosno 12.212,94 EUR u odnosu na prethodnu godinu</w:t>
      </w:r>
    </w:p>
    <w:p w14:paraId="52A6F6B7" w14:textId="782E30B5" w:rsidR="00697490" w:rsidRPr="00C03E93" w:rsidRDefault="00095224" w:rsidP="00697490">
      <w:pPr>
        <w:ind w:left="780"/>
        <w:jc w:val="both"/>
        <w:rPr>
          <w:rFonts w:ascii="TyponineSans Reg" w:hAnsi="TyponineSans Reg"/>
          <w:szCs w:val="22"/>
        </w:rPr>
      </w:pPr>
      <w:r w:rsidRPr="00C03E93">
        <w:rPr>
          <w:rFonts w:ascii="TyponineSans Reg" w:hAnsi="TyponineSans Reg"/>
          <w:szCs w:val="22"/>
        </w:rPr>
        <w:t xml:space="preserve">-ostale usluge ostvarene u iznosu 235.474,24 EUR čine </w:t>
      </w:r>
      <w:r w:rsidR="00474685" w:rsidRPr="00C03E93">
        <w:rPr>
          <w:rFonts w:ascii="TyponineSans Reg" w:hAnsi="TyponineSans Reg"/>
          <w:szCs w:val="22"/>
        </w:rPr>
        <w:t>grafičke i tiskarske usluge u iznosu 35.566,31 EUR, film i fotografske usluge 5.232,20 EUR, usluge registracije prijevoznih sredstva 5.009,54 EUR</w:t>
      </w:r>
      <w:r w:rsidR="0052713E" w:rsidRPr="00C03E93">
        <w:rPr>
          <w:rFonts w:ascii="TyponineSans Reg" w:hAnsi="TyponineSans Reg"/>
          <w:szCs w:val="22"/>
        </w:rPr>
        <w:t>, troškovi objave oglasa 5.884,24 EUR i ostale nespomenute usluge 183.424,55 EUR najvećim dijelom troškovi provizije rezervacijskog sustava za usluge smještaja.</w:t>
      </w:r>
    </w:p>
    <w:p w14:paraId="6A53AE5C" w14:textId="77777777" w:rsidR="00697490" w:rsidRPr="00C03E93" w:rsidRDefault="00697490" w:rsidP="00697490">
      <w:pPr>
        <w:ind w:left="780"/>
        <w:jc w:val="both"/>
        <w:rPr>
          <w:rFonts w:ascii="TyponineSans Reg" w:hAnsi="TyponineSans Reg"/>
          <w:szCs w:val="22"/>
        </w:rPr>
      </w:pPr>
    </w:p>
    <w:p w14:paraId="7DDA889A" w14:textId="4DF54DEE" w:rsidR="00697490" w:rsidRPr="00C24239" w:rsidRDefault="00697490" w:rsidP="006D1916">
      <w:pPr>
        <w:numPr>
          <w:ilvl w:val="0"/>
          <w:numId w:val="12"/>
        </w:numPr>
        <w:jc w:val="both"/>
        <w:rPr>
          <w:rFonts w:ascii="TyponineSans Reg" w:hAnsi="TyponineSans Reg"/>
          <w:szCs w:val="22"/>
        </w:rPr>
      </w:pPr>
      <w:r w:rsidRPr="00C24239">
        <w:rPr>
          <w:rFonts w:ascii="TyponineSans Reg" w:hAnsi="TyponineSans Reg"/>
          <w:szCs w:val="22"/>
        </w:rPr>
        <w:t xml:space="preserve">Naknade troškova osobama izvan radnog odnosa manje su u odnosu na prethodnu godinu i </w:t>
      </w:r>
      <w:r w:rsidR="00BB38D1" w:rsidRPr="00C24239">
        <w:rPr>
          <w:rFonts w:ascii="TyponineSans Reg" w:hAnsi="TyponineSans Reg"/>
          <w:szCs w:val="22"/>
        </w:rPr>
        <w:t xml:space="preserve">ostvarene su u </w:t>
      </w:r>
      <w:r w:rsidRPr="00C24239">
        <w:rPr>
          <w:rFonts w:ascii="TyponineSans Reg" w:hAnsi="TyponineSans Reg"/>
          <w:szCs w:val="22"/>
        </w:rPr>
        <w:t>iznos</w:t>
      </w:r>
      <w:r w:rsidR="00BB38D1" w:rsidRPr="00C24239">
        <w:rPr>
          <w:rFonts w:ascii="TyponineSans Reg" w:hAnsi="TyponineSans Reg"/>
          <w:szCs w:val="22"/>
        </w:rPr>
        <w:t>u</w:t>
      </w:r>
      <w:r w:rsidRPr="00C24239">
        <w:rPr>
          <w:rFonts w:ascii="TyponineSans Reg" w:hAnsi="TyponineSans Reg"/>
          <w:szCs w:val="22"/>
        </w:rPr>
        <w:t xml:space="preserve"> </w:t>
      </w:r>
      <w:r w:rsidR="00BB38D1" w:rsidRPr="00C24239">
        <w:rPr>
          <w:rFonts w:ascii="TyponineSans Reg" w:hAnsi="TyponineSans Reg"/>
          <w:szCs w:val="22"/>
        </w:rPr>
        <w:t xml:space="preserve">153,71 </w:t>
      </w:r>
      <w:r w:rsidR="00C87716" w:rsidRPr="00C24239">
        <w:rPr>
          <w:rFonts w:ascii="TyponineSans Reg" w:hAnsi="TyponineSans Reg"/>
          <w:szCs w:val="22"/>
        </w:rPr>
        <w:t>EUR</w:t>
      </w:r>
      <w:r w:rsidR="00A3520F" w:rsidRPr="00C24239">
        <w:rPr>
          <w:rFonts w:ascii="TyponineSans Reg" w:hAnsi="TyponineSans Reg"/>
          <w:szCs w:val="22"/>
        </w:rPr>
        <w:t xml:space="preserve"> </w:t>
      </w:r>
    </w:p>
    <w:p w14:paraId="43B77C5F" w14:textId="382BD867" w:rsidR="00697490" w:rsidRPr="00C24239" w:rsidRDefault="00697490" w:rsidP="00697490">
      <w:pPr>
        <w:numPr>
          <w:ilvl w:val="0"/>
          <w:numId w:val="12"/>
        </w:numPr>
        <w:jc w:val="both"/>
        <w:rPr>
          <w:rFonts w:ascii="TyponineSans Reg" w:hAnsi="TyponineSans Reg"/>
          <w:b/>
          <w:szCs w:val="22"/>
        </w:rPr>
      </w:pPr>
      <w:r w:rsidRPr="00C24239">
        <w:rPr>
          <w:rFonts w:ascii="TyponineSans Reg" w:hAnsi="TyponineSans Reg"/>
          <w:szCs w:val="22"/>
        </w:rPr>
        <w:t xml:space="preserve">Ostali nespomenuti rashodi poslovanja ostvareni su u iznosu </w:t>
      </w:r>
      <w:r w:rsidR="00A3520F" w:rsidRPr="00C24239">
        <w:rPr>
          <w:rFonts w:ascii="TyponineSans Reg" w:hAnsi="TyponineSans Reg"/>
          <w:szCs w:val="22"/>
        </w:rPr>
        <w:t>577.211,50</w:t>
      </w:r>
      <w:r w:rsidRPr="00C24239">
        <w:rPr>
          <w:rFonts w:ascii="TyponineSans Reg" w:hAnsi="TyponineSans Reg"/>
          <w:szCs w:val="22"/>
        </w:rPr>
        <w:t xml:space="preserve"> </w:t>
      </w:r>
      <w:r w:rsidR="00C87716" w:rsidRPr="00C24239">
        <w:rPr>
          <w:rFonts w:ascii="TyponineSans Reg" w:hAnsi="TyponineSans Reg"/>
          <w:szCs w:val="22"/>
        </w:rPr>
        <w:t>EUR</w:t>
      </w:r>
      <w:r w:rsidRPr="00C24239">
        <w:rPr>
          <w:rFonts w:ascii="TyponineSans Reg" w:hAnsi="TyponineSans Reg"/>
          <w:szCs w:val="22"/>
        </w:rPr>
        <w:t xml:space="preserve"> i veći su za 1</w:t>
      </w:r>
      <w:r w:rsidR="00A3520F" w:rsidRPr="00C24239">
        <w:rPr>
          <w:rFonts w:ascii="TyponineSans Reg" w:hAnsi="TyponineSans Reg"/>
          <w:szCs w:val="22"/>
        </w:rPr>
        <w:t>9</w:t>
      </w:r>
      <w:r w:rsidRPr="00C24239">
        <w:rPr>
          <w:rFonts w:ascii="TyponineSans Reg" w:hAnsi="TyponineSans Reg"/>
          <w:szCs w:val="22"/>
        </w:rPr>
        <w:t>,</w:t>
      </w:r>
      <w:r w:rsidR="00A3520F" w:rsidRPr="00C24239">
        <w:rPr>
          <w:rFonts w:ascii="TyponineSans Reg" w:hAnsi="TyponineSans Reg"/>
          <w:szCs w:val="22"/>
        </w:rPr>
        <w:t>39</w:t>
      </w:r>
      <w:r w:rsidRPr="00C24239">
        <w:rPr>
          <w:rFonts w:ascii="TyponineSans Reg" w:hAnsi="TyponineSans Reg"/>
          <w:szCs w:val="22"/>
        </w:rPr>
        <w:t xml:space="preserve">%, odnosno za </w:t>
      </w:r>
      <w:r w:rsidR="00A3520F" w:rsidRPr="00C24239">
        <w:rPr>
          <w:rFonts w:ascii="TyponineSans Reg" w:hAnsi="TyponineSans Reg"/>
          <w:szCs w:val="22"/>
        </w:rPr>
        <w:t>93.740,93</w:t>
      </w:r>
      <w:r w:rsidRPr="00C24239">
        <w:rPr>
          <w:rFonts w:ascii="TyponineSans Reg" w:hAnsi="TyponineSans Reg"/>
          <w:szCs w:val="22"/>
        </w:rPr>
        <w:t xml:space="preserve"> </w:t>
      </w:r>
      <w:r w:rsidR="00C87716" w:rsidRPr="00C24239">
        <w:rPr>
          <w:rFonts w:ascii="TyponineSans Reg" w:hAnsi="TyponineSans Reg"/>
          <w:szCs w:val="22"/>
        </w:rPr>
        <w:t>EUR</w:t>
      </w:r>
      <w:r w:rsidRPr="00C24239">
        <w:rPr>
          <w:rFonts w:ascii="TyponineSans Reg" w:hAnsi="TyponineSans Reg"/>
          <w:szCs w:val="22"/>
        </w:rPr>
        <w:t xml:space="preserve"> u odnosu na prošlu godinu. Povećanje ostalih nespomenutih rashoda </w:t>
      </w:r>
      <w:r w:rsidR="00F81FF8" w:rsidRPr="00C24239">
        <w:rPr>
          <w:rFonts w:ascii="TyponineSans Reg" w:hAnsi="TyponineSans Reg"/>
          <w:szCs w:val="22"/>
        </w:rPr>
        <w:t>čine povećanja rashoda za rad predstavničkih i izvršnih tijela, povjerenstava i sl. za 27,90%, premija osiguranja za 1,91%, troškova reprezentacije za 22,03%, pristojba i nakanada za 11,80</w:t>
      </w:r>
      <w:r w:rsidR="00C24239">
        <w:rPr>
          <w:rFonts w:ascii="TyponineSans Reg" w:hAnsi="TyponineSans Reg"/>
          <w:szCs w:val="22"/>
        </w:rPr>
        <w:t>%</w:t>
      </w:r>
      <w:r w:rsidRPr="00C24239">
        <w:rPr>
          <w:rFonts w:ascii="TyponineSans Reg" w:hAnsi="TyponineSans Reg"/>
          <w:szCs w:val="22"/>
        </w:rPr>
        <w:t xml:space="preserve"> i ostali</w:t>
      </w:r>
      <w:r w:rsidR="00F81FF8" w:rsidRPr="00C24239">
        <w:rPr>
          <w:rFonts w:ascii="TyponineSans Reg" w:hAnsi="TyponineSans Reg"/>
          <w:szCs w:val="22"/>
        </w:rPr>
        <w:t>h</w:t>
      </w:r>
      <w:r w:rsidRPr="00C24239">
        <w:rPr>
          <w:rFonts w:ascii="TyponineSans Reg" w:hAnsi="TyponineSans Reg"/>
          <w:szCs w:val="22"/>
        </w:rPr>
        <w:t xml:space="preserve"> nespomenuti rashodi poslovanja za </w:t>
      </w:r>
      <w:r w:rsidR="00F81FF8" w:rsidRPr="00C24239">
        <w:rPr>
          <w:rFonts w:ascii="TyponineSans Reg" w:hAnsi="TyponineSans Reg"/>
          <w:szCs w:val="22"/>
        </w:rPr>
        <w:t>44,43</w:t>
      </w:r>
      <w:r w:rsidRPr="00C24239">
        <w:rPr>
          <w:rFonts w:ascii="TyponineSans Reg" w:hAnsi="TyponineSans Reg"/>
          <w:szCs w:val="22"/>
        </w:rPr>
        <w:t>%.</w:t>
      </w:r>
    </w:p>
    <w:p w14:paraId="4DB7FB21" w14:textId="7F7DE7FE" w:rsidR="00F81FF8" w:rsidRPr="00C24239" w:rsidRDefault="00F81FF8" w:rsidP="00F81FF8">
      <w:pPr>
        <w:ind w:left="780"/>
        <w:jc w:val="both"/>
        <w:rPr>
          <w:rFonts w:ascii="TyponineSans Reg" w:hAnsi="TyponineSans Reg"/>
          <w:b/>
          <w:szCs w:val="22"/>
        </w:rPr>
      </w:pPr>
      <w:r w:rsidRPr="00C24239">
        <w:rPr>
          <w:rFonts w:ascii="TyponineSans Reg" w:hAnsi="TyponineSans Reg"/>
          <w:szCs w:val="22"/>
        </w:rPr>
        <w:t>Ostali nespomenuti rashodi poslovanja</w:t>
      </w:r>
      <w:r w:rsidR="0027764F" w:rsidRPr="00C24239">
        <w:rPr>
          <w:rFonts w:ascii="TyponineSans Reg" w:hAnsi="TyponineSans Reg"/>
          <w:szCs w:val="22"/>
        </w:rPr>
        <w:t xml:space="preserve"> u iznosu 176.415,86 EUR</w:t>
      </w:r>
      <w:r w:rsidRPr="00C24239">
        <w:rPr>
          <w:rFonts w:ascii="TyponineSans Reg" w:hAnsi="TyponineSans Reg"/>
          <w:szCs w:val="22"/>
        </w:rPr>
        <w:t xml:space="preserve"> bilježe porast u iznosu 54.270,31 EUR u odnosu na godinu prije kad su iznosi 122.145,55 EUR i čine ih rashodi za provizije na kreditne kartice u iznosu 97.382,21 EUR, povratna naknada 2.255,82 EUR</w:t>
      </w:r>
      <w:r w:rsidR="0027764F" w:rsidRPr="00C24239">
        <w:rPr>
          <w:rFonts w:ascii="TyponineSans Reg" w:hAnsi="TyponineSans Reg"/>
          <w:szCs w:val="22"/>
        </w:rPr>
        <w:t xml:space="preserve"> i ostali nespomenuti rashodi u iznosu 76.777,83 EUR.</w:t>
      </w:r>
    </w:p>
    <w:p w14:paraId="52E43E2F" w14:textId="77777777" w:rsidR="00697490" w:rsidRPr="00FC7FEB" w:rsidRDefault="00697490" w:rsidP="00697490">
      <w:pPr>
        <w:pStyle w:val="ListParagraph"/>
        <w:rPr>
          <w:rFonts w:ascii="TyponineSans Reg" w:hAnsi="TyponineSans Reg"/>
          <w:b/>
          <w:color w:val="FF0000"/>
          <w:szCs w:val="22"/>
        </w:rPr>
      </w:pPr>
    </w:p>
    <w:p w14:paraId="712B2F3C" w14:textId="77777777" w:rsidR="00697490" w:rsidRPr="00996163" w:rsidRDefault="00697490" w:rsidP="00697490">
      <w:pPr>
        <w:jc w:val="both"/>
        <w:rPr>
          <w:rFonts w:ascii="TyponineSans Reg" w:hAnsi="TyponineSans Reg"/>
          <w:b/>
          <w:sz w:val="24"/>
          <w:szCs w:val="24"/>
        </w:rPr>
      </w:pPr>
      <w:r w:rsidRPr="00996163">
        <w:rPr>
          <w:rFonts w:ascii="TyponineSans Reg" w:hAnsi="TyponineSans Reg"/>
          <w:b/>
          <w:sz w:val="24"/>
          <w:szCs w:val="24"/>
        </w:rPr>
        <w:t>Šifra 34</w:t>
      </w:r>
    </w:p>
    <w:p w14:paraId="20C01220" w14:textId="77777777" w:rsidR="00697490" w:rsidRPr="00996163" w:rsidRDefault="00697490" w:rsidP="00697490">
      <w:pPr>
        <w:jc w:val="both"/>
        <w:rPr>
          <w:rFonts w:ascii="TyponineSans Reg" w:hAnsi="TyponineSans Reg"/>
          <w:b/>
          <w:sz w:val="24"/>
          <w:szCs w:val="24"/>
        </w:rPr>
      </w:pPr>
      <w:r w:rsidRPr="00996163">
        <w:rPr>
          <w:rFonts w:ascii="TyponineSans Reg" w:hAnsi="TyponineSans Reg"/>
          <w:b/>
          <w:sz w:val="24"/>
          <w:szCs w:val="24"/>
        </w:rPr>
        <w:t>Financijski   rashodi</w:t>
      </w:r>
    </w:p>
    <w:p w14:paraId="03841CE3" w14:textId="77777777" w:rsidR="00697490" w:rsidRPr="00996163" w:rsidRDefault="00697490" w:rsidP="00697490">
      <w:pPr>
        <w:jc w:val="both"/>
        <w:rPr>
          <w:rFonts w:ascii="TyponineSans Reg" w:hAnsi="TyponineSans Reg"/>
          <w:b/>
          <w:szCs w:val="22"/>
        </w:rPr>
      </w:pPr>
    </w:p>
    <w:p w14:paraId="7E54D9F9" w14:textId="772A1D32" w:rsidR="00697490" w:rsidRDefault="00697490" w:rsidP="00697490">
      <w:pPr>
        <w:jc w:val="both"/>
        <w:rPr>
          <w:rFonts w:ascii="TyponineSans Reg" w:hAnsi="TyponineSans Reg"/>
          <w:szCs w:val="22"/>
        </w:rPr>
      </w:pPr>
      <w:r w:rsidRPr="00996163">
        <w:rPr>
          <w:rFonts w:ascii="TyponineSans Reg" w:hAnsi="TyponineSans Reg"/>
          <w:szCs w:val="22"/>
        </w:rPr>
        <w:t xml:space="preserve">Financijski rashodi Ustanove evidentirani su u iznosu  </w:t>
      </w:r>
      <w:r w:rsidR="007E41FF" w:rsidRPr="00996163">
        <w:rPr>
          <w:rFonts w:ascii="TyponineSans Reg" w:hAnsi="TyponineSans Reg"/>
          <w:szCs w:val="22"/>
        </w:rPr>
        <w:t>26.936,85 EU</w:t>
      </w:r>
      <w:r w:rsidR="00C87716" w:rsidRPr="00996163">
        <w:rPr>
          <w:rFonts w:ascii="TyponineSans Reg" w:hAnsi="TyponineSans Reg"/>
          <w:szCs w:val="22"/>
        </w:rPr>
        <w:t>R</w:t>
      </w:r>
      <w:r w:rsidRPr="00996163">
        <w:rPr>
          <w:rFonts w:ascii="TyponineSans Reg" w:hAnsi="TyponineSans Reg"/>
          <w:szCs w:val="22"/>
        </w:rPr>
        <w:t xml:space="preserve"> i povećani su za </w:t>
      </w:r>
      <w:r w:rsidR="007E41FF" w:rsidRPr="00996163">
        <w:rPr>
          <w:rFonts w:ascii="TyponineSans Reg" w:hAnsi="TyponineSans Reg"/>
          <w:szCs w:val="22"/>
        </w:rPr>
        <w:t>55</w:t>
      </w:r>
      <w:r w:rsidRPr="00996163">
        <w:rPr>
          <w:rFonts w:ascii="TyponineSans Reg" w:hAnsi="TyponineSans Reg"/>
          <w:szCs w:val="22"/>
        </w:rPr>
        <w:t xml:space="preserve"> % odnosno za 9</w:t>
      </w:r>
      <w:r w:rsidR="007E41FF" w:rsidRPr="00996163">
        <w:rPr>
          <w:rFonts w:ascii="TyponineSans Reg" w:hAnsi="TyponineSans Reg"/>
          <w:szCs w:val="22"/>
        </w:rPr>
        <w:t>.55</w:t>
      </w:r>
      <w:r w:rsidRPr="00996163">
        <w:rPr>
          <w:rFonts w:ascii="TyponineSans Reg" w:hAnsi="TyponineSans Reg"/>
          <w:szCs w:val="22"/>
        </w:rPr>
        <w:t>8,</w:t>
      </w:r>
      <w:r w:rsidR="007E41FF" w:rsidRPr="00996163">
        <w:rPr>
          <w:rFonts w:ascii="TyponineSans Reg" w:hAnsi="TyponineSans Reg"/>
          <w:szCs w:val="22"/>
        </w:rPr>
        <w:t>50</w:t>
      </w:r>
      <w:r w:rsidRPr="00996163">
        <w:rPr>
          <w:rFonts w:ascii="TyponineSans Reg" w:hAnsi="TyponineSans Reg"/>
          <w:szCs w:val="22"/>
        </w:rPr>
        <w:t xml:space="preserve"> </w:t>
      </w:r>
      <w:r w:rsidR="00C87716" w:rsidRPr="00996163">
        <w:rPr>
          <w:rFonts w:ascii="TyponineSans Reg" w:hAnsi="TyponineSans Reg"/>
          <w:szCs w:val="22"/>
        </w:rPr>
        <w:t>EUR</w:t>
      </w:r>
      <w:r w:rsidRPr="00996163">
        <w:rPr>
          <w:rFonts w:ascii="TyponineSans Reg" w:hAnsi="TyponineSans Reg"/>
          <w:szCs w:val="22"/>
        </w:rPr>
        <w:t xml:space="preserve"> u odnosu na ostv</w:t>
      </w:r>
      <w:r w:rsidR="007E41FF" w:rsidRPr="00996163">
        <w:rPr>
          <w:rFonts w:ascii="TyponineSans Reg" w:hAnsi="TyponineSans Reg"/>
          <w:szCs w:val="22"/>
        </w:rPr>
        <w:t>a</w:t>
      </w:r>
      <w:r w:rsidRPr="00996163">
        <w:rPr>
          <w:rFonts w:ascii="TyponineSans Reg" w:hAnsi="TyponineSans Reg"/>
          <w:szCs w:val="22"/>
        </w:rPr>
        <w:t>rene 202</w:t>
      </w:r>
      <w:r w:rsidR="007E41FF" w:rsidRPr="00996163">
        <w:rPr>
          <w:rFonts w:ascii="TyponineSans Reg" w:hAnsi="TyponineSans Reg"/>
          <w:szCs w:val="22"/>
        </w:rPr>
        <w:t>3</w:t>
      </w:r>
      <w:r w:rsidRPr="00996163">
        <w:rPr>
          <w:rFonts w:ascii="TyponineSans Reg" w:hAnsi="TyponineSans Reg"/>
          <w:szCs w:val="22"/>
        </w:rPr>
        <w:t>. godini, a čine ih rashodi za bankarske usluge i usluge platnog prometa, negativne tečajne razlike i zatezne kamate.</w:t>
      </w:r>
    </w:p>
    <w:p w14:paraId="01EDCCAC" w14:textId="77777777" w:rsidR="004516D2" w:rsidRDefault="004516D2" w:rsidP="00697490">
      <w:pPr>
        <w:jc w:val="both"/>
        <w:rPr>
          <w:rFonts w:ascii="TyponineSans Reg" w:hAnsi="TyponineSans Reg"/>
          <w:szCs w:val="22"/>
        </w:rPr>
      </w:pPr>
    </w:p>
    <w:p w14:paraId="73F1A15E" w14:textId="77777777" w:rsidR="004516D2" w:rsidRPr="00996163" w:rsidRDefault="004516D2" w:rsidP="00697490">
      <w:pPr>
        <w:jc w:val="both"/>
        <w:rPr>
          <w:rFonts w:ascii="TyponineSans Reg" w:hAnsi="TyponineSans Reg"/>
          <w:b/>
          <w:szCs w:val="22"/>
        </w:rPr>
      </w:pPr>
    </w:p>
    <w:p w14:paraId="2DFE6EB7" w14:textId="2DD9C610" w:rsidR="00697490" w:rsidRPr="00A43645" w:rsidRDefault="00697490" w:rsidP="00697490">
      <w:pPr>
        <w:jc w:val="both"/>
        <w:rPr>
          <w:rFonts w:ascii="TyponineSans Reg" w:hAnsi="TyponineSans Reg"/>
          <w:b/>
          <w:sz w:val="24"/>
          <w:szCs w:val="24"/>
        </w:rPr>
      </w:pPr>
      <w:r w:rsidRPr="00A43645">
        <w:rPr>
          <w:rFonts w:ascii="TyponineSans Reg" w:hAnsi="TyponineSans Reg"/>
          <w:b/>
          <w:sz w:val="24"/>
          <w:szCs w:val="24"/>
        </w:rPr>
        <w:lastRenderedPageBreak/>
        <w:t>Šifra 36</w:t>
      </w:r>
    </w:p>
    <w:p w14:paraId="14EA2C36" w14:textId="77777777" w:rsidR="00697490" w:rsidRPr="00A43645" w:rsidRDefault="00697490" w:rsidP="00697490">
      <w:pPr>
        <w:jc w:val="both"/>
        <w:rPr>
          <w:rFonts w:ascii="TyponineSans Reg" w:hAnsi="TyponineSans Reg"/>
          <w:b/>
          <w:sz w:val="24"/>
          <w:szCs w:val="24"/>
        </w:rPr>
      </w:pPr>
      <w:r w:rsidRPr="00A43645">
        <w:rPr>
          <w:rFonts w:ascii="TyponineSans Reg" w:hAnsi="TyponineSans Reg"/>
          <w:b/>
          <w:sz w:val="24"/>
          <w:szCs w:val="24"/>
        </w:rPr>
        <w:t>Pomoći dane u inozemstvo i unutar općeg proračuna</w:t>
      </w:r>
    </w:p>
    <w:p w14:paraId="76AEE343" w14:textId="77777777" w:rsidR="00697490" w:rsidRPr="00A43645" w:rsidRDefault="00697490" w:rsidP="00697490">
      <w:pPr>
        <w:jc w:val="both"/>
        <w:rPr>
          <w:rFonts w:ascii="TyponineSans Reg" w:hAnsi="TyponineSans Reg"/>
          <w:b/>
          <w:sz w:val="24"/>
          <w:szCs w:val="24"/>
        </w:rPr>
      </w:pPr>
    </w:p>
    <w:p w14:paraId="2E5184C4" w14:textId="45ADEE78" w:rsidR="00697490" w:rsidRPr="00A43645" w:rsidRDefault="00697490" w:rsidP="00697490">
      <w:pPr>
        <w:jc w:val="both"/>
        <w:rPr>
          <w:rFonts w:ascii="TyponineSans Reg" w:hAnsi="TyponineSans Reg"/>
          <w:sz w:val="24"/>
        </w:rPr>
      </w:pPr>
      <w:r w:rsidRPr="00A43645">
        <w:rPr>
          <w:rFonts w:ascii="TyponineSans Reg" w:hAnsi="TyponineSans Reg"/>
          <w:szCs w:val="22"/>
        </w:rPr>
        <w:t xml:space="preserve">Pomoći dane u inozemstvo i unutar općeg proračuna ostvarene su u iznosu od </w:t>
      </w:r>
      <w:r w:rsidR="00080032" w:rsidRPr="00A43645">
        <w:rPr>
          <w:rFonts w:ascii="TyponineSans Reg" w:hAnsi="TyponineSans Reg"/>
          <w:szCs w:val="22"/>
        </w:rPr>
        <w:t>81.164,46</w:t>
      </w:r>
      <w:r w:rsidRPr="00A43645">
        <w:rPr>
          <w:rFonts w:ascii="TyponineSans Reg" w:hAnsi="TyponineSans Reg"/>
          <w:szCs w:val="22"/>
        </w:rPr>
        <w:t xml:space="preserve"> </w:t>
      </w:r>
      <w:r w:rsidR="00C87716" w:rsidRPr="00A43645">
        <w:rPr>
          <w:rFonts w:ascii="TyponineSans Reg" w:hAnsi="TyponineSans Reg"/>
          <w:szCs w:val="22"/>
        </w:rPr>
        <w:t>EUR</w:t>
      </w:r>
      <w:r w:rsidRPr="00A43645">
        <w:rPr>
          <w:rFonts w:ascii="TyponineSans Reg" w:hAnsi="TyponineSans Reg"/>
          <w:szCs w:val="22"/>
        </w:rPr>
        <w:t xml:space="preserve"> i odnose se na 3%  ostvarenih prihoda od obavljanja posjetiteljske djelatnosti koji su temeljem Pravilnika o mjerilima i načinu korištenja donacija i vlastitih prihoda nacionalnih parkova i parkova prirode (NN 65/2017) tijekom godine uplaćeni u državni proračun na izdvojeni izvor sredstava pod nazivom Zajednička sredstva parkova Hrvatske. Iznos uplaćenih sredstava </w:t>
      </w:r>
      <w:r w:rsidR="00080032" w:rsidRPr="00A43645">
        <w:rPr>
          <w:rFonts w:ascii="TyponineSans Reg" w:hAnsi="TyponineSans Reg"/>
          <w:szCs w:val="22"/>
        </w:rPr>
        <w:t xml:space="preserve">manji </w:t>
      </w:r>
      <w:r w:rsidRPr="00A43645">
        <w:rPr>
          <w:rFonts w:ascii="TyponineSans Reg" w:hAnsi="TyponineSans Reg"/>
          <w:szCs w:val="22"/>
        </w:rPr>
        <w:t xml:space="preserve">je u odnosu na prethodnu godinu </w:t>
      </w:r>
      <w:r w:rsidR="00080032" w:rsidRPr="00A43645">
        <w:rPr>
          <w:rFonts w:ascii="TyponineSans Reg" w:hAnsi="TyponineSans Reg"/>
          <w:szCs w:val="22"/>
        </w:rPr>
        <w:t>jer je iznos od 42.449 EUR uplaćen prethodne godine kao rashodi budućih razdoblja</w:t>
      </w:r>
      <w:r w:rsidRPr="00A43645">
        <w:rPr>
          <w:rFonts w:ascii="TyponineSans Reg" w:hAnsi="TyponineSans Reg"/>
          <w:szCs w:val="22"/>
        </w:rPr>
        <w:t>.</w:t>
      </w:r>
    </w:p>
    <w:p w14:paraId="6F5E0B88" w14:textId="77777777" w:rsidR="00697490" w:rsidRPr="00244622" w:rsidRDefault="00697490" w:rsidP="00697490">
      <w:pPr>
        <w:jc w:val="both"/>
        <w:rPr>
          <w:rFonts w:ascii="TyponineSans Reg" w:hAnsi="TyponineSans Reg"/>
          <w:b/>
          <w:sz w:val="24"/>
          <w:szCs w:val="24"/>
        </w:rPr>
      </w:pPr>
    </w:p>
    <w:p w14:paraId="44056B0D" w14:textId="508B6E75" w:rsidR="00697490" w:rsidRPr="00244622" w:rsidRDefault="00697490" w:rsidP="00697490">
      <w:pPr>
        <w:jc w:val="both"/>
        <w:rPr>
          <w:rFonts w:ascii="TyponineSans Reg" w:hAnsi="TyponineSans Reg"/>
          <w:b/>
          <w:sz w:val="24"/>
          <w:szCs w:val="24"/>
        </w:rPr>
      </w:pPr>
      <w:r w:rsidRPr="00244622">
        <w:rPr>
          <w:rFonts w:ascii="TyponineSans Reg" w:hAnsi="TyponineSans Reg"/>
          <w:b/>
          <w:sz w:val="24"/>
          <w:szCs w:val="24"/>
        </w:rPr>
        <w:t xml:space="preserve">Bilješka br. </w:t>
      </w:r>
      <w:r w:rsidR="00D6355E">
        <w:rPr>
          <w:rFonts w:ascii="TyponineSans Reg" w:hAnsi="TyponineSans Reg"/>
          <w:b/>
          <w:sz w:val="24"/>
          <w:szCs w:val="24"/>
        </w:rPr>
        <w:t>1</w:t>
      </w:r>
      <w:r w:rsidRPr="00244622">
        <w:rPr>
          <w:rFonts w:ascii="TyponineSans Reg" w:hAnsi="TyponineSans Reg"/>
          <w:b/>
          <w:sz w:val="24"/>
          <w:szCs w:val="24"/>
        </w:rPr>
        <w:t>.3. – Prihodi i rashodi od nefinancijske imovine</w:t>
      </w:r>
    </w:p>
    <w:p w14:paraId="1EE8A7D1" w14:textId="77777777" w:rsidR="00697490" w:rsidRPr="00244622" w:rsidRDefault="00697490" w:rsidP="00697490">
      <w:pPr>
        <w:jc w:val="both"/>
        <w:rPr>
          <w:rFonts w:ascii="TyponineSans Reg" w:hAnsi="TyponineSans Reg"/>
          <w:b/>
          <w:sz w:val="24"/>
          <w:szCs w:val="24"/>
        </w:rPr>
      </w:pPr>
    </w:p>
    <w:p w14:paraId="5E7ACB73" w14:textId="520E32AA" w:rsidR="00697490" w:rsidRPr="00244622" w:rsidRDefault="00697490" w:rsidP="00697490">
      <w:pPr>
        <w:jc w:val="both"/>
        <w:rPr>
          <w:rFonts w:ascii="TyponineSans Reg" w:hAnsi="TyponineSans Reg"/>
          <w:sz w:val="24"/>
        </w:rPr>
      </w:pPr>
      <w:r w:rsidRPr="00244622">
        <w:rPr>
          <w:rFonts w:ascii="TyponineSans Reg" w:hAnsi="TyponineSans Reg"/>
          <w:szCs w:val="22"/>
        </w:rPr>
        <w:t>U financijskim izvještajima za razdoblje od siječnja do prosinca 202</w:t>
      </w:r>
      <w:r w:rsidR="00B70119" w:rsidRPr="00244622">
        <w:rPr>
          <w:rFonts w:ascii="TyponineSans Reg" w:hAnsi="TyponineSans Reg"/>
          <w:szCs w:val="22"/>
        </w:rPr>
        <w:t>4</w:t>
      </w:r>
      <w:r w:rsidRPr="00244622">
        <w:rPr>
          <w:rFonts w:ascii="TyponineSans Reg" w:hAnsi="TyponineSans Reg"/>
          <w:szCs w:val="22"/>
        </w:rPr>
        <w:t>. godine rashodi za nabavku nefinancijske imovine Ustanove evidentirani su u skladu sa odredbama Pravilnika o proračunskom računovodstvu i Računskom planu i u cjelosti priznati  u trenutku</w:t>
      </w:r>
      <w:r w:rsidRPr="00244622">
        <w:rPr>
          <w:rFonts w:ascii="TyponineSans Reg" w:hAnsi="TyponineSans Reg"/>
          <w:sz w:val="24"/>
        </w:rPr>
        <w:t xml:space="preserve"> nabavke.</w:t>
      </w:r>
    </w:p>
    <w:p w14:paraId="27DBE268" w14:textId="77777777" w:rsidR="00697490" w:rsidRPr="00244622" w:rsidRDefault="00697490" w:rsidP="00697490">
      <w:pPr>
        <w:pStyle w:val="BodyText2"/>
        <w:rPr>
          <w:rFonts w:ascii="TyponineSans Reg" w:hAnsi="TyponineSans Reg"/>
          <w:i w:val="0"/>
          <w:sz w:val="24"/>
        </w:rPr>
      </w:pPr>
    </w:p>
    <w:p w14:paraId="39896B46" w14:textId="77777777" w:rsidR="00697490" w:rsidRPr="00244622" w:rsidRDefault="00697490" w:rsidP="00697490">
      <w:pPr>
        <w:pStyle w:val="BodyText2"/>
        <w:rPr>
          <w:rFonts w:ascii="TyponineSans Reg" w:hAnsi="TyponineSans Reg"/>
          <w:b/>
          <w:i w:val="0"/>
          <w:sz w:val="24"/>
          <w:szCs w:val="24"/>
        </w:rPr>
      </w:pPr>
      <w:r w:rsidRPr="00244622">
        <w:rPr>
          <w:rFonts w:ascii="TyponineSans Reg" w:hAnsi="TyponineSans Reg"/>
          <w:b/>
          <w:i w:val="0"/>
          <w:sz w:val="24"/>
          <w:szCs w:val="24"/>
        </w:rPr>
        <w:t>Šifra 72</w:t>
      </w:r>
    </w:p>
    <w:p w14:paraId="67E53ECF" w14:textId="77777777" w:rsidR="00697490" w:rsidRPr="00244622" w:rsidRDefault="00697490" w:rsidP="00697490">
      <w:pPr>
        <w:pStyle w:val="BodyText2"/>
        <w:rPr>
          <w:rFonts w:ascii="TyponineSans Reg" w:hAnsi="TyponineSans Reg"/>
          <w:b/>
          <w:i w:val="0"/>
          <w:sz w:val="24"/>
          <w:szCs w:val="24"/>
        </w:rPr>
      </w:pPr>
      <w:r w:rsidRPr="00244622">
        <w:rPr>
          <w:rFonts w:ascii="TyponineSans Reg" w:hAnsi="TyponineSans Reg"/>
          <w:b/>
          <w:i w:val="0"/>
          <w:sz w:val="24"/>
          <w:szCs w:val="24"/>
        </w:rPr>
        <w:t>Prihodi od prodaje proizvedene dugotrajne imovine</w:t>
      </w:r>
    </w:p>
    <w:p w14:paraId="60A777FE" w14:textId="77777777" w:rsidR="00697490" w:rsidRPr="003026F6" w:rsidRDefault="00697490" w:rsidP="00697490">
      <w:pPr>
        <w:pStyle w:val="BodyText2"/>
        <w:rPr>
          <w:rFonts w:ascii="TyponineSans Reg" w:hAnsi="TyponineSans Reg"/>
          <w:b/>
          <w:i w:val="0"/>
          <w:szCs w:val="22"/>
        </w:rPr>
      </w:pPr>
    </w:p>
    <w:p w14:paraId="13B34197" w14:textId="294ECC19" w:rsidR="00697490" w:rsidRDefault="00F53966" w:rsidP="00697490">
      <w:pPr>
        <w:pStyle w:val="BodyText2"/>
        <w:rPr>
          <w:rFonts w:ascii="TyponineSans Reg" w:hAnsi="TyponineSans Reg"/>
          <w:b/>
          <w:i w:val="0"/>
          <w:color w:val="FF0000"/>
          <w:szCs w:val="22"/>
        </w:rPr>
      </w:pPr>
      <w:r w:rsidRPr="00F53966">
        <w:drawing>
          <wp:anchor distT="0" distB="0" distL="114300" distR="114300" simplePos="0" relativeHeight="251669504" behindDoc="0" locked="0" layoutInCell="1" allowOverlap="1" wp14:anchorId="3C1F2B7C" wp14:editId="2F95705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5686425" cy="1314450"/>
            <wp:effectExtent l="0" t="0" r="9525" b="0"/>
            <wp:wrapSquare wrapText="bothSides"/>
            <wp:docPr id="96443225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5F3551" w14:textId="77777777" w:rsidR="00F53966" w:rsidRPr="00323C4A" w:rsidRDefault="00F53966" w:rsidP="00697490">
      <w:pPr>
        <w:pStyle w:val="BodyText2"/>
        <w:rPr>
          <w:rFonts w:ascii="TyponineSans Reg" w:hAnsi="TyponineSans Reg"/>
          <w:b/>
          <w:i w:val="0"/>
          <w:szCs w:val="22"/>
        </w:rPr>
      </w:pPr>
    </w:p>
    <w:p w14:paraId="5EE7EA10" w14:textId="245ED185" w:rsidR="00697490" w:rsidRPr="00323C4A" w:rsidRDefault="00697490" w:rsidP="00697490">
      <w:pPr>
        <w:pStyle w:val="BodyText2"/>
        <w:rPr>
          <w:rFonts w:ascii="TyponineSans Reg" w:hAnsi="TyponineSans Reg"/>
          <w:b/>
          <w:i w:val="0"/>
          <w:szCs w:val="22"/>
        </w:rPr>
      </w:pPr>
    </w:p>
    <w:p w14:paraId="020B4819" w14:textId="77777777" w:rsidR="00697490" w:rsidRPr="00323C4A" w:rsidRDefault="00697490" w:rsidP="00697490">
      <w:pPr>
        <w:pStyle w:val="BodyText2"/>
        <w:rPr>
          <w:rFonts w:ascii="TyponineSans Reg" w:hAnsi="TyponineSans Reg"/>
          <w:b/>
          <w:i w:val="0"/>
          <w:szCs w:val="22"/>
        </w:rPr>
      </w:pPr>
    </w:p>
    <w:p w14:paraId="3FA8A04A" w14:textId="26528C2F" w:rsidR="00697490" w:rsidRPr="00323C4A" w:rsidRDefault="00697490" w:rsidP="00697490">
      <w:pPr>
        <w:pStyle w:val="BodyText2"/>
        <w:rPr>
          <w:rFonts w:ascii="TyponineSans Reg" w:hAnsi="TyponineSans Reg"/>
          <w:i w:val="0"/>
          <w:szCs w:val="22"/>
        </w:rPr>
      </w:pPr>
      <w:r w:rsidRPr="00323C4A">
        <w:rPr>
          <w:rFonts w:ascii="TyponineSans Reg" w:hAnsi="TyponineSans Reg"/>
          <w:i w:val="0"/>
          <w:szCs w:val="22"/>
        </w:rPr>
        <w:t>Prihodi od prodaje nefinancijske imovine u razdoblju od siječnja do prosinca 202</w:t>
      </w:r>
      <w:r w:rsidR="00F53966" w:rsidRPr="00323C4A">
        <w:rPr>
          <w:rFonts w:ascii="TyponineSans Reg" w:hAnsi="TyponineSans Reg"/>
          <w:i w:val="0"/>
          <w:szCs w:val="22"/>
        </w:rPr>
        <w:t>4</w:t>
      </w:r>
      <w:r w:rsidRPr="00323C4A">
        <w:rPr>
          <w:rFonts w:ascii="TyponineSans Reg" w:hAnsi="TyponineSans Reg"/>
          <w:i w:val="0"/>
          <w:szCs w:val="22"/>
        </w:rPr>
        <w:t xml:space="preserve">. godine ostvareni su u iznosu </w:t>
      </w:r>
      <w:r w:rsidR="00F53966" w:rsidRPr="00323C4A">
        <w:rPr>
          <w:rFonts w:ascii="TyponineSans Reg" w:hAnsi="TyponineSans Reg"/>
          <w:i w:val="0"/>
          <w:szCs w:val="22"/>
        </w:rPr>
        <w:t>12.672</w:t>
      </w:r>
      <w:r w:rsidRPr="00323C4A">
        <w:rPr>
          <w:rFonts w:ascii="TyponineSans Reg" w:hAnsi="TyponineSans Reg"/>
          <w:i w:val="0"/>
          <w:szCs w:val="22"/>
        </w:rPr>
        <w:t xml:space="preserve"> </w:t>
      </w:r>
      <w:r w:rsidR="00C87716" w:rsidRPr="00323C4A">
        <w:rPr>
          <w:rFonts w:ascii="TyponineSans Reg" w:hAnsi="TyponineSans Reg"/>
          <w:i w:val="0"/>
          <w:szCs w:val="22"/>
        </w:rPr>
        <w:t>EUR</w:t>
      </w:r>
      <w:r w:rsidRPr="00323C4A">
        <w:rPr>
          <w:rFonts w:ascii="TyponineSans Reg" w:hAnsi="TyponineSans Reg"/>
          <w:i w:val="0"/>
          <w:szCs w:val="22"/>
        </w:rPr>
        <w:t xml:space="preserve"> i odnose se na prodaju osnovnog stada</w:t>
      </w:r>
      <w:r w:rsidR="00F53966" w:rsidRPr="00323C4A">
        <w:rPr>
          <w:rFonts w:ascii="TyponineSans Reg" w:hAnsi="TyponineSans Reg"/>
          <w:i w:val="0"/>
          <w:szCs w:val="22"/>
        </w:rPr>
        <w:t>. Isti bilježe porast od 7,21% odnosno 851,94 EUR</w:t>
      </w:r>
      <w:r w:rsidR="00633120">
        <w:rPr>
          <w:rFonts w:ascii="TyponineSans Reg" w:hAnsi="TyponineSans Reg"/>
          <w:i w:val="0"/>
          <w:szCs w:val="22"/>
        </w:rPr>
        <w:t xml:space="preserve"> u odnosu na ostvareno u prethodnoj godini</w:t>
      </w:r>
      <w:r w:rsidR="00F53966" w:rsidRPr="00323C4A">
        <w:rPr>
          <w:rFonts w:ascii="TyponineSans Reg" w:hAnsi="TyponineSans Reg"/>
          <w:i w:val="0"/>
          <w:szCs w:val="22"/>
        </w:rPr>
        <w:t>.</w:t>
      </w:r>
    </w:p>
    <w:p w14:paraId="012EC2A4" w14:textId="77777777" w:rsidR="00F23A8E" w:rsidRPr="00323C4A" w:rsidRDefault="00F23A8E" w:rsidP="00697490">
      <w:pPr>
        <w:pStyle w:val="BodyText2"/>
        <w:rPr>
          <w:rFonts w:ascii="TyponineSans Reg" w:hAnsi="TyponineSans Reg"/>
          <w:b/>
          <w:i w:val="0"/>
          <w:szCs w:val="22"/>
        </w:rPr>
      </w:pPr>
    </w:p>
    <w:p w14:paraId="1A33C25E" w14:textId="77777777" w:rsidR="00996AD5" w:rsidRPr="00323C4A" w:rsidRDefault="00996AD5" w:rsidP="00697490">
      <w:pPr>
        <w:pStyle w:val="BodyText2"/>
        <w:rPr>
          <w:rFonts w:ascii="TyponineSans Reg" w:hAnsi="TyponineSans Reg"/>
          <w:b/>
          <w:i w:val="0"/>
          <w:szCs w:val="22"/>
        </w:rPr>
      </w:pPr>
    </w:p>
    <w:p w14:paraId="6BC72700" w14:textId="4649D9C2" w:rsidR="00697490" w:rsidRPr="00323C4A" w:rsidRDefault="00697490" w:rsidP="00697490">
      <w:pPr>
        <w:pStyle w:val="BodyText2"/>
        <w:rPr>
          <w:rFonts w:ascii="TyponineSans Reg" w:hAnsi="TyponineSans Reg"/>
          <w:i w:val="0"/>
          <w:szCs w:val="22"/>
        </w:rPr>
      </w:pPr>
      <w:r w:rsidRPr="00323C4A">
        <w:rPr>
          <w:rFonts w:ascii="TyponineSans Reg" w:hAnsi="TyponineSans Reg"/>
          <w:b/>
          <w:i w:val="0"/>
          <w:szCs w:val="22"/>
        </w:rPr>
        <w:t>Šifra 4</w:t>
      </w:r>
    </w:p>
    <w:p w14:paraId="52302E6C" w14:textId="77777777" w:rsidR="00697490" w:rsidRPr="00323C4A" w:rsidRDefault="00697490" w:rsidP="00697490">
      <w:pPr>
        <w:pStyle w:val="BodyText2"/>
        <w:rPr>
          <w:rFonts w:ascii="TyponineSans Reg" w:hAnsi="TyponineSans Reg"/>
          <w:b/>
          <w:sz w:val="24"/>
          <w:szCs w:val="24"/>
        </w:rPr>
      </w:pPr>
      <w:r w:rsidRPr="00323C4A">
        <w:rPr>
          <w:rFonts w:ascii="TyponineSans Reg" w:hAnsi="TyponineSans Reg"/>
          <w:b/>
          <w:sz w:val="24"/>
          <w:szCs w:val="24"/>
        </w:rPr>
        <w:t>Rashodi za nabavu nefinancijske imovine</w:t>
      </w:r>
    </w:p>
    <w:p w14:paraId="1D71D627" w14:textId="77777777" w:rsidR="00697490" w:rsidRPr="00323C4A" w:rsidRDefault="00697490" w:rsidP="00697490">
      <w:pPr>
        <w:pStyle w:val="BodyText2"/>
        <w:rPr>
          <w:rFonts w:ascii="TyponineSans Reg" w:hAnsi="TyponineSans Reg"/>
          <w:b/>
          <w:sz w:val="24"/>
          <w:szCs w:val="24"/>
        </w:rPr>
      </w:pPr>
    </w:p>
    <w:p w14:paraId="6C4F3D2E" w14:textId="143FDF16" w:rsidR="00A75596" w:rsidRPr="00A00CA8" w:rsidRDefault="00697490" w:rsidP="00697490">
      <w:pPr>
        <w:pStyle w:val="BodyText2"/>
        <w:rPr>
          <w:rFonts w:ascii="TyponineSans Reg" w:hAnsi="TyponineSans Reg"/>
          <w:i w:val="0"/>
          <w:iCs/>
          <w:szCs w:val="22"/>
        </w:rPr>
      </w:pPr>
      <w:r w:rsidRPr="00A00CA8">
        <w:rPr>
          <w:rFonts w:ascii="TyponineSans Reg" w:hAnsi="TyponineSans Reg"/>
          <w:i w:val="0"/>
          <w:iCs/>
          <w:szCs w:val="22"/>
        </w:rPr>
        <w:t xml:space="preserve">Rashodi za nabavu nefinancijske imovine iskazani su u ukupnom iznosu od </w:t>
      </w:r>
      <w:r w:rsidR="00BF053F" w:rsidRPr="00A00CA8">
        <w:rPr>
          <w:rFonts w:ascii="TyponineSans Reg" w:hAnsi="TyponineSans Reg"/>
          <w:i w:val="0"/>
          <w:iCs/>
          <w:szCs w:val="22"/>
        </w:rPr>
        <w:t>332.798,35</w:t>
      </w:r>
      <w:r w:rsidRPr="00A00CA8">
        <w:rPr>
          <w:rFonts w:ascii="TyponineSans Reg" w:hAnsi="TyponineSans Reg"/>
          <w:i w:val="0"/>
          <w:iCs/>
          <w:szCs w:val="22"/>
        </w:rPr>
        <w:t xml:space="preserve"> </w:t>
      </w:r>
      <w:r w:rsidR="00C87716" w:rsidRPr="00A00CA8">
        <w:rPr>
          <w:rFonts w:ascii="TyponineSans Reg" w:hAnsi="TyponineSans Reg"/>
          <w:i w:val="0"/>
          <w:iCs/>
          <w:szCs w:val="22"/>
        </w:rPr>
        <w:t>EUR</w:t>
      </w:r>
      <w:r w:rsidRPr="00A00CA8">
        <w:rPr>
          <w:rFonts w:ascii="TyponineSans Reg" w:hAnsi="TyponineSans Reg"/>
          <w:i w:val="0"/>
          <w:iCs/>
          <w:szCs w:val="22"/>
        </w:rPr>
        <w:t xml:space="preserve"> i manji </w:t>
      </w:r>
      <w:r w:rsidR="00BF053F" w:rsidRPr="00A00CA8">
        <w:rPr>
          <w:rFonts w:ascii="TyponineSans Reg" w:hAnsi="TyponineSans Reg"/>
          <w:i w:val="0"/>
          <w:iCs/>
          <w:szCs w:val="22"/>
        </w:rPr>
        <w:t>s</w:t>
      </w:r>
      <w:r w:rsidRPr="00A00CA8">
        <w:rPr>
          <w:rFonts w:ascii="TyponineSans Reg" w:hAnsi="TyponineSans Reg"/>
          <w:i w:val="0"/>
          <w:iCs/>
          <w:szCs w:val="22"/>
        </w:rPr>
        <w:t xml:space="preserve">u odnosu na prethodnu godinu </w:t>
      </w:r>
      <w:r w:rsidR="00A75596" w:rsidRPr="00A00CA8">
        <w:rPr>
          <w:rFonts w:ascii="TyponineSans Reg" w:hAnsi="TyponineSans Reg"/>
          <w:i w:val="0"/>
          <w:iCs/>
          <w:szCs w:val="22"/>
        </w:rPr>
        <w:t>za 56.837,13 EUR kada su isti i</w:t>
      </w:r>
      <w:r w:rsidRPr="00A00CA8">
        <w:rPr>
          <w:rFonts w:ascii="TyponineSans Reg" w:hAnsi="TyponineSans Reg"/>
          <w:i w:val="0"/>
          <w:iCs/>
          <w:szCs w:val="22"/>
        </w:rPr>
        <w:t xml:space="preserve">znosili </w:t>
      </w:r>
      <w:r w:rsidR="00A75596" w:rsidRPr="00A00CA8">
        <w:rPr>
          <w:rFonts w:ascii="TyponineSans Reg" w:hAnsi="TyponineSans Reg"/>
          <w:i w:val="0"/>
          <w:iCs/>
          <w:szCs w:val="22"/>
        </w:rPr>
        <w:t>389.635,48</w:t>
      </w:r>
      <w:r w:rsidRPr="00A00CA8">
        <w:rPr>
          <w:rFonts w:ascii="TyponineSans Reg" w:hAnsi="TyponineSans Reg"/>
          <w:i w:val="0"/>
          <w:iCs/>
          <w:szCs w:val="22"/>
        </w:rPr>
        <w:t xml:space="preserve"> </w:t>
      </w:r>
      <w:r w:rsidR="00C87716" w:rsidRPr="00A00CA8">
        <w:rPr>
          <w:rFonts w:ascii="TyponineSans Reg" w:hAnsi="TyponineSans Reg"/>
          <w:i w:val="0"/>
          <w:iCs/>
          <w:szCs w:val="22"/>
        </w:rPr>
        <w:t>EUR</w:t>
      </w:r>
      <w:r w:rsidRPr="00A00CA8">
        <w:rPr>
          <w:rFonts w:ascii="TyponineSans Reg" w:hAnsi="TyponineSans Reg"/>
          <w:i w:val="0"/>
          <w:iCs/>
          <w:szCs w:val="22"/>
        </w:rPr>
        <w:t xml:space="preserve">. </w:t>
      </w:r>
      <w:r w:rsidR="00A75596" w:rsidRPr="00A00CA8">
        <w:rPr>
          <w:rFonts w:ascii="TyponineSans Reg" w:hAnsi="TyponineSans Reg"/>
          <w:i w:val="0"/>
          <w:iCs/>
          <w:szCs w:val="22"/>
        </w:rPr>
        <w:t xml:space="preserve">Rashode za nabavu nefinancijske imovine čine rashodi za nabavu proizvedene dugotrajne imovine u iznosu od 308.818,74 EUR i rashodi za dodatna ulaganja na </w:t>
      </w:r>
      <w:r w:rsidR="00983159">
        <w:rPr>
          <w:rFonts w:ascii="TyponineSans Reg" w:hAnsi="TyponineSans Reg"/>
          <w:i w:val="0"/>
          <w:iCs/>
          <w:szCs w:val="22"/>
        </w:rPr>
        <w:t>ne</w:t>
      </w:r>
      <w:r w:rsidR="00A75596" w:rsidRPr="00A00CA8">
        <w:rPr>
          <w:rFonts w:ascii="TyponineSans Reg" w:hAnsi="TyponineSans Reg"/>
          <w:i w:val="0"/>
          <w:iCs/>
          <w:szCs w:val="22"/>
        </w:rPr>
        <w:t>financijskoj imovini  u iznosu 23.979,61 EUR.</w:t>
      </w:r>
    </w:p>
    <w:p w14:paraId="333165BE" w14:textId="738D0FAC" w:rsidR="00697490" w:rsidRPr="00A00CA8" w:rsidRDefault="00697490" w:rsidP="00697490">
      <w:pPr>
        <w:pStyle w:val="BodyText2"/>
        <w:rPr>
          <w:rFonts w:ascii="TyponineSans Reg" w:hAnsi="TyponineSans Reg"/>
          <w:i w:val="0"/>
          <w:iCs/>
          <w:szCs w:val="22"/>
        </w:rPr>
      </w:pPr>
      <w:r w:rsidRPr="00A00CA8">
        <w:rPr>
          <w:rFonts w:ascii="TyponineSans Reg" w:hAnsi="TyponineSans Reg"/>
          <w:i w:val="0"/>
          <w:iCs/>
          <w:szCs w:val="22"/>
        </w:rPr>
        <w:t>Rashodi za nabavu  proizvedene dugotrajne imovine manji su za</w:t>
      </w:r>
      <w:r w:rsidR="00A75596" w:rsidRPr="00A00CA8">
        <w:rPr>
          <w:rFonts w:ascii="TyponineSans Reg" w:hAnsi="TyponineSans Reg"/>
          <w:i w:val="0"/>
          <w:iCs/>
          <w:szCs w:val="22"/>
        </w:rPr>
        <w:t xml:space="preserve"> 19,09</w:t>
      </w:r>
      <w:r w:rsidRPr="00A00CA8">
        <w:rPr>
          <w:rFonts w:ascii="TyponineSans Reg" w:hAnsi="TyponineSans Reg"/>
          <w:i w:val="0"/>
          <w:iCs/>
          <w:szCs w:val="22"/>
        </w:rPr>
        <w:t xml:space="preserve">% odnosno </w:t>
      </w:r>
      <w:r w:rsidR="00551620" w:rsidRPr="00A00CA8">
        <w:rPr>
          <w:rFonts w:ascii="TyponineSans Reg" w:hAnsi="TyponineSans Reg"/>
          <w:i w:val="0"/>
          <w:iCs/>
          <w:szCs w:val="22"/>
        </w:rPr>
        <w:t>75.877,07</w:t>
      </w:r>
      <w:r w:rsidRPr="00A00CA8">
        <w:rPr>
          <w:rFonts w:ascii="TyponineSans Reg" w:hAnsi="TyponineSans Reg"/>
          <w:i w:val="0"/>
          <w:iCs/>
          <w:szCs w:val="22"/>
        </w:rPr>
        <w:t xml:space="preserve"> </w:t>
      </w:r>
      <w:r w:rsidR="00C87716" w:rsidRPr="00A00CA8">
        <w:rPr>
          <w:rFonts w:ascii="TyponineSans Reg" w:hAnsi="TyponineSans Reg"/>
          <w:i w:val="0"/>
          <w:iCs/>
          <w:szCs w:val="22"/>
        </w:rPr>
        <w:t>EUR</w:t>
      </w:r>
      <w:r w:rsidRPr="00A00CA8">
        <w:rPr>
          <w:rFonts w:ascii="TyponineSans Reg" w:hAnsi="TyponineSans Reg"/>
          <w:i w:val="0"/>
          <w:iCs/>
          <w:szCs w:val="22"/>
        </w:rPr>
        <w:t xml:space="preserve"> u odnosu na ostvarenje 202</w:t>
      </w:r>
      <w:r w:rsidR="00551620" w:rsidRPr="00A00CA8">
        <w:rPr>
          <w:rFonts w:ascii="TyponineSans Reg" w:hAnsi="TyponineSans Reg"/>
          <w:i w:val="0"/>
          <w:iCs/>
          <w:szCs w:val="22"/>
        </w:rPr>
        <w:t>3</w:t>
      </w:r>
      <w:r w:rsidRPr="00A00CA8">
        <w:rPr>
          <w:rFonts w:ascii="TyponineSans Reg" w:hAnsi="TyponineSans Reg"/>
          <w:i w:val="0"/>
          <w:iCs/>
          <w:szCs w:val="22"/>
        </w:rPr>
        <w:t xml:space="preserve">. godine dok su rashodi za dodatna ulaganja na nefinancijskog imovini </w:t>
      </w:r>
      <w:r w:rsidR="008D1A75" w:rsidRPr="00A00CA8">
        <w:rPr>
          <w:rFonts w:ascii="TyponineSans Reg" w:hAnsi="TyponineSans Reg"/>
          <w:i w:val="0"/>
          <w:iCs/>
          <w:szCs w:val="22"/>
        </w:rPr>
        <w:t>već</w:t>
      </w:r>
      <w:r w:rsidRPr="00A00CA8">
        <w:rPr>
          <w:rFonts w:ascii="TyponineSans Reg" w:hAnsi="TyponineSans Reg"/>
          <w:i w:val="0"/>
          <w:iCs/>
          <w:szCs w:val="22"/>
        </w:rPr>
        <w:t xml:space="preserve">i za </w:t>
      </w:r>
      <w:r w:rsidR="008D1A75" w:rsidRPr="00A00CA8">
        <w:rPr>
          <w:rFonts w:ascii="TyponineSans Reg" w:hAnsi="TyponineSans Reg"/>
          <w:i w:val="0"/>
          <w:iCs/>
          <w:szCs w:val="22"/>
        </w:rPr>
        <w:t>202,02%</w:t>
      </w:r>
      <w:r w:rsidRPr="00A00CA8">
        <w:rPr>
          <w:rFonts w:ascii="TyponineSans Reg" w:hAnsi="TyponineSans Reg"/>
          <w:i w:val="0"/>
          <w:iCs/>
          <w:szCs w:val="22"/>
        </w:rPr>
        <w:t xml:space="preserve"> odnosno za </w:t>
      </w:r>
      <w:r w:rsidR="008D1A75" w:rsidRPr="00A00CA8">
        <w:rPr>
          <w:rFonts w:ascii="TyponineSans Reg" w:hAnsi="TyponineSans Reg"/>
          <w:i w:val="0"/>
          <w:iCs/>
          <w:szCs w:val="22"/>
        </w:rPr>
        <w:t>16.039,94</w:t>
      </w:r>
      <w:r w:rsidRPr="00A00CA8">
        <w:rPr>
          <w:rFonts w:ascii="TyponineSans Reg" w:hAnsi="TyponineSans Reg"/>
          <w:i w:val="0"/>
          <w:iCs/>
          <w:szCs w:val="22"/>
        </w:rPr>
        <w:t xml:space="preserve"> </w:t>
      </w:r>
      <w:r w:rsidR="00C87716" w:rsidRPr="00A00CA8">
        <w:rPr>
          <w:rFonts w:ascii="TyponineSans Reg" w:hAnsi="TyponineSans Reg"/>
          <w:i w:val="0"/>
          <w:iCs/>
          <w:szCs w:val="22"/>
        </w:rPr>
        <w:t>EUR</w:t>
      </w:r>
      <w:r w:rsidRPr="00A00CA8">
        <w:rPr>
          <w:rFonts w:ascii="TyponineSans Reg" w:hAnsi="TyponineSans Reg"/>
          <w:i w:val="0"/>
          <w:iCs/>
          <w:szCs w:val="22"/>
        </w:rPr>
        <w:t xml:space="preserve"> u odnosu na ostvarene u 202</w:t>
      </w:r>
      <w:r w:rsidR="008D1A75" w:rsidRPr="00A00CA8">
        <w:rPr>
          <w:rFonts w:ascii="TyponineSans Reg" w:hAnsi="TyponineSans Reg"/>
          <w:i w:val="0"/>
          <w:iCs/>
          <w:szCs w:val="22"/>
        </w:rPr>
        <w:t>3</w:t>
      </w:r>
      <w:r w:rsidRPr="00A00CA8">
        <w:rPr>
          <w:rFonts w:ascii="TyponineSans Reg" w:hAnsi="TyponineSans Reg"/>
          <w:i w:val="0"/>
          <w:iCs/>
          <w:szCs w:val="22"/>
        </w:rPr>
        <w:t>. godini.</w:t>
      </w:r>
    </w:p>
    <w:p w14:paraId="32D193B7" w14:textId="77777777" w:rsidR="00F23A8E" w:rsidRPr="00A00CA8" w:rsidRDefault="00F23A8E" w:rsidP="00697490">
      <w:pPr>
        <w:pStyle w:val="BodyText2"/>
        <w:rPr>
          <w:rFonts w:ascii="TyponineSans Reg" w:hAnsi="TyponineSans Reg"/>
          <w:i w:val="0"/>
          <w:iCs/>
          <w:szCs w:val="22"/>
        </w:rPr>
      </w:pPr>
    </w:p>
    <w:p w14:paraId="0919001F" w14:textId="77777777" w:rsidR="00697490" w:rsidRPr="00A00CA8" w:rsidRDefault="00697490" w:rsidP="00697490">
      <w:pPr>
        <w:pStyle w:val="BodyText2"/>
        <w:rPr>
          <w:rFonts w:ascii="TyponineSans Reg" w:hAnsi="TyponineSans Reg"/>
          <w:i w:val="0"/>
          <w:iCs/>
          <w:szCs w:val="22"/>
        </w:rPr>
      </w:pPr>
    </w:p>
    <w:p w14:paraId="1F264D6D" w14:textId="39486879" w:rsidR="00697490" w:rsidRPr="00A00CA8" w:rsidRDefault="00697490" w:rsidP="00697490">
      <w:pPr>
        <w:pStyle w:val="BodyText2"/>
        <w:rPr>
          <w:rFonts w:ascii="TyponineSans Reg" w:hAnsi="TyponineSans Reg"/>
          <w:i w:val="0"/>
          <w:iCs/>
          <w:szCs w:val="22"/>
        </w:rPr>
      </w:pPr>
    </w:p>
    <w:p w14:paraId="3E210C42" w14:textId="31E926D8" w:rsidR="00F23A8E" w:rsidRPr="00FC7FEB" w:rsidRDefault="00E16BC3" w:rsidP="00697490">
      <w:pPr>
        <w:pStyle w:val="BodyText2"/>
        <w:rPr>
          <w:rFonts w:ascii="TyponineSans Reg" w:hAnsi="TyponineSans Reg"/>
          <w:color w:val="FF0000"/>
          <w:szCs w:val="22"/>
        </w:rPr>
      </w:pPr>
      <w:r w:rsidRPr="00E16BC3">
        <w:lastRenderedPageBreak/>
        <w:drawing>
          <wp:anchor distT="0" distB="0" distL="114300" distR="114300" simplePos="0" relativeHeight="251670528" behindDoc="0" locked="0" layoutInCell="1" allowOverlap="1" wp14:anchorId="3918FBE3" wp14:editId="6ECEB037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762625" cy="1876425"/>
            <wp:effectExtent l="0" t="0" r="9525" b="9525"/>
            <wp:wrapSquare wrapText="bothSides"/>
            <wp:docPr id="14363483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E108E4" w14:textId="77777777" w:rsidR="00F23A8E" w:rsidRPr="00983159" w:rsidRDefault="00F23A8E" w:rsidP="00697490">
      <w:pPr>
        <w:pStyle w:val="BodyText2"/>
        <w:rPr>
          <w:rFonts w:ascii="TyponineSans Reg" w:hAnsi="TyponineSans Reg"/>
          <w:szCs w:val="22"/>
        </w:rPr>
      </w:pPr>
    </w:p>
    <w:p w14:paraId="1B750FDD" w14:textId="14E01061" w:rsidR="00697490" w:rsidRPr="00983159" w:rsidRDefault="00697490" w:rsidP="00697490">
      <w:pPr>
        <w:pStyle w:val="BodyText2"/>
        <w:rPr>
          <w:rFonts w:ascii="TyponineSans Reg" w:hAnsi="TyponineSans Reg"/>
          <w:i w:val="0"/>
          <w:iCs/>
          <w:szCs w:val="22"/>
        </w:rPr>
      </w:pPr>
      <w:r w:rsidRPr="00983159">
        <w:rPr>
          <w:rFonts w:ascii="TyponineSans Reg" w:hAnsi="TyponineSans Reg"/>
          <w:i w:val="0"/>
          <w:iCs/>
          <w:szCs w:val="22"/>
        </w:rPr>
        <w:t>Rashodi za nabavu proizvedene dugotrajne imovine odnose se na sljedeće stavke rashoda:</w:t>
      </w:r>
    </w:p>
    <w:p w14:paraId="74EE4CC6" w14:textId="77777777" w:rsidR="00697490" w:rsidRPr="00983159" w:rsidRDefault="00697490" w:rsidP="00697490">
      <w:pPr>
        <w:pStyle w:val="BodyText2"/>
        <w:rPr>
          <w:rFonts w:ascii="TyponineSans Reg" w:hAnsi="TyponineSans Reg"/>
          <w:i w:val="0"/>
          <w:iCs/>
          <w:szCs w:val="22"/>
        </w:rPr>
      </w:pPr>
    </w:p>
    <w:p w14:paraId="750450AC" w14:textId="6517536B" w:rsidR="00697490" w:rsidRPr="00983159" w:rsidRDefault="00697490" w:rsidP="00697490">
      <w:pPr>
        <w:pStyle w:val="BodyText2"/>
        <w:numPr>
          <w:ilvl w:val="0"/>
          <w:numId w:val="16"/>
        </w:numPr>
        <w:ind w:left="1070"/>
        <w:rPr>
          <w:rFonts w:ascii="TyponineSans Reg" w:hAnsi="TyponineSans Reg"/>
          <w:i w:val="0"/>
          <w:iCs/>
          <w:szCs w:val="22"/>
        </w:rPr>
      </w:pPr>
      <w:r w:rsidRPr="00983159">
        <w:rPr>
          <w:rFonts w:ascii="TyponineSans Reg" w:hAnsi="TyponineSans Reg"/>
          <w:i w:val="0"/>
          <w:iCs/>
          <w:szCs w:val="22"/>
        </w:rPr>
        <w:t xml:space="preserve">Rashodi za nabavku i izgradnju građevinskih objekata </w:t>
      </w:r>
      <w:r w:rsidR="006360D7">
        <w:rPr>
          <w:rFonts w:ascii="TyponineSans Reg" w:hAnsi="TyponineSans Reg"/>
          <w:i w:val="0"/>
          <w:iCs/>
          <w:szCs w:val="22"/>
        </w:rPr>
        <w:t>u</w:t>
      </w:r>
      <w:r w:rsidRPr="00983159">
        <w:rPr>
          <w:rFonts w:ascii="TyponineSans Reg" w:hAnsi="TyponineSans Reg"/>
          <w:i w:val="0"/>
          <w:iCs/>
          <w:szCs w:val="22"/>
        </w:rPr>
        <w:t xml:space="preserve"> iznos</w:t>
      </w:r>
      <w:r w:rsidR="006360D7">
        <w:rPr>
          <w:rFonts w:ascii="TyponineSans Reg" w:hAnsi="TyponineSans Reg"/>
          <w:i w:val="0"/>
          <w:iCs/>
          <w:szCs w:val="22"/>
        </w:rPr>
        <w:t>u</w:t>
      </w:r>
      <w:r w:rsidR="00CA32A8" w:rsidRPr="00983159">
        <w:rPr>
          <w:rFonts w:ascii="TyponineSans Reg" w:hAnsi="TyponineSans Reg"/>
          <w:i w:val="0"/>
          <w:iCs/>
          <w:szCs w:val="22"/>
        </w:rPr>
        <w:t xml:space="preserve"> 4.172,57</w:t>
      </w:r>
      <w:r w:rsidRPr="00983159">
        <w:rPr>
          <w:rFonts w:ascii="TyponineSans Reg" w:hAnsi="TyponineSans Reg"/>
          <w:i w:val="0"/>
          <w:iCs/>
          <w:szCs w:val="22"/>
        </w:rPr>
        <w:t xml:space="preserve"> </w:t>
      </w:r>
      <w:r w:rsidR="00C87716" w:rsidRPr="00983159">
        <w:rPr>
          <w:rFonts w:ascii="TyponineSans Reg" w:hAnsi="TyponineSans Reg"/>
          <w:i w:val="0"/>
          <w:iCs/>
          <w:szCs w:val="22"/>
        </w:rPr>
        <w:t>EUR</w:t>
      </w:r>
      <w:r w:rsidRPr="00983159">
        <w:rPr>
          <w:rFonts w:ascii="TyponineSans Reg" w:hAnsi="TyponineSans Reg"/>
          <w:i w:val="0"/>
          <w:iCs/>
          <w:szCs w:val="22"/>
        </w:rPr>
        <w:t xml:space="preserve"> a čine ih rashodi za nabavu i izgradnju poslovnih objekata u iznosu od </w:t>
      </w:r>
      <w:r w:rsidR="00CA32A8" w:rsidRPr="00983159">
        <w:rPr>
          <w:rFonts w:ascii="TyponineSans Reg" w:hAnsi="TyponineSans Reg"/>
          <w:i w:val="0"/>
          <w:iCs/>
          <w:szCs w:val="22"/>
        </w:rPr>
        <w:t>4.000</w:t>
      </w:r>
      <w:r w:rsidRPr="00983159">
        <w:rPr>
          <w:rFonts w:ascii="TyponineSans Reg" w:hAnsi="TyponineSans Reg"/>
          <w:i w:val="0"/>
          <w:iCs/>
          <w:szCs w:val="22"/>
        </w:rPr>
        <w:t xml:space="preserve"> </w:t>
      </w:r>
      <w:r w:rsidR="00C87716" w:rsidRPr="00983159">
        <w:rPr>
          <w:rFonts w:ascii="TyponineSans Reg" w:hAnsi="TyponineSans Reg"/>
          <w:i w:val="0"/>
          <w:iCs/>
          <w:szCs w:val="22"/>
        </w:rPr>
        <w:t>EUR</w:t>
      </w:r>
      <w:r w:rsidRPr="00983159">
        <w:rPr>
          <w:rFonts w:ascii="TyponineSans Reg" w:hAnsi="TyponineSans Reg"/>
          <w:i w:val="0"/>
          <w:iCs/>
          <w:szCs w:val="22"/>
        </w:rPr>
        <w:t xml:space="preserve"> te ostalih građevinskih objekata u iznosu od </w:t>
      </w:r>
      <w:r w:rsidR="00CA32A8" w:rsidRPr="00983159">
        <w:rPr>
          <w:rFonts w:ascii="TyponineSans Reg" w:hAnsi="TyponineSans Reg"/>
          <w:i w:val="0"/>
          <w:iCs/>
          <w:szCs w:val="22"/>
        </w:rPr>
        <w:t>172,57</w:t>
      </w:r>
      <w:r w:rsidRPr="00983159">
        <w:rPr>
          <w:rFonts w:ascii="TyponineSans Reg" w:hAnsi="TyponineSans Reg"/>
          <w:i w:val="0"/>
          <w:iCs/>
          <w:szCs w:val="22"/>
        </w:rPr>
        <w:t xml:space="preserve"> </w:t>
      </w:r>
      <w:r w:rsidR="00C87716" w:rsidRPr="00983159">
        <w:rPr>
          <w:rFonts w:ascii="TyponineSans Reg" w:hAnsi="TyponineSans Reg"/>
          <w:i w:val="0"/>
          <w:iCs/>
          <w:szCs w:val="22"/>
        </w:rPr>
        <w:t>EUR</w:t>
      </w:r>
      <w:r w:rsidRPr="00983159">
        <w:rPr>
          <w:rFonts w:ascii="TyponineSans Reg" w:hAnsi="TyponineSans Reg"/>
          <w:i w:val="0"/>
          <w:iCs/>
          <w:szCs w:val="22"/>
        </w:rPr>
        <w:t>.</w:t>
      </w:r>
    </w:p>
    <w:p w14:paraId="4197C35B" w14:textId="2057B86B" w:rsidR="00697490" w:rsidRPr="00983159" w:rsidRDefault="00697490" w:rsidP="00697490">
      <w:pPr>
        <w:pStyle w:val="BodyText2"/>
        <w:numPr>
          <w:ilvl w:val="0"/>
          <w:numId w:val="16"/>
        </w:numPr>
        <w:ind w:left="1070"/>
        <w:rPr>
          <w:rFonts w:ascii="TyponineSans Reg" w:hAnsi="TyponineSans Reg"/>
          <w:i w:val="0"/>
          <w:iCs/>
          <w:szCs w:val="22"/>
        </w:rPr>
      </w:pPr>
      <w:r w:rsidRPr="00983159">
        <w:rPr>
          <w:rFonts w:ascii="TyponineSans Reg" w:hAnsi="TyponineSans Reg"/>
          <w:i w:val="0"/>
          <w:iCs/>
          <w:szCs w:val="22"/>
        </w:rPr>
        <w:t xml:space="preserve">Rashodi za nabavku postrojenja i opreme u iznosu </w:t>
      </w:r>
      <w:r w:rsidR="00CA32A8" w:rsidRPr="00983159">
        <w:rPr>
          <w:rFonts w:ascii="TyponineSans Reg" w:hAnsi="TyponineSans Reg"/>
          <w:i w:val="0"/>
          <w:iCs/>
          <w:szCs w:val="22"/>
        </w:rPr>
        <w:t xml:space="preserve">236.647,65 </w:t>
      </w:r>
      <w:r w:rsidR="00C87716" w:rsidRPr="00983159">
        <w:rPr>
          <w:rFonts w:ascii="TyponineSans Reg" w:hAnsi="TyponineSans Reg"/>
          <w:i w:val="0"/>
          <w:iCs/>
          <w:szCs w:val="22"/>
        </w:rPr>
        <w:t>EUR</w:t>
      </w:r>
      <w:r w:rsidRPr="00983159">
        <w:rPr>
          <w:rFonts w:ascii="TyponineSans Reg" w:hAnsi="TyponineSans Reg"/>
          <w:i w:val="0"/>
          <w:iCs/>
          <w:szCs w:val="22"/>
        </w:rPr>
        <w:t xml:space="preserve"> </w:t>
      </w:r>
      <w:r w:rsidR="00CC497C">
        <w:rPr>
          <w:rFonts w:ascii="TyponineSans Reg" w:hAnsi="TyponineSans Reg"/>
          <w:i w:val="0"/>
          <w:iCs/>
          <w:szCs w:val="22"/>
        </w:rPr>
        <w:t>koji su</w:t>
      </w:r>
      <w:r w:rsidRPr="00983159">
        <w:rPr>
          <w:rFonts w:ascii="TyponineSans Reg" w:hAnsi="TyponineSans Reg"/>
          <w:i w:val="0"/>
          <w:iCs/>
          <w:szCs w:val="22"/>
        </w:rPr>
        <w:t xml:space="preserve"> manji u odnosu na prethodnu godinu za </w:t>
      </w:r>
      <w:r w:rsidR="00CA32A8" w:rsidRPr="00983159">
        <w:rPr>
          <w:rFonts w:ascii="TyponineSans Reg" w:hAnsi="TyponineSans Reg"/>
          <w:i w:val="0"/>
          <w:iCs/>
          <w:szCs w:val="22"/>
        </w:rPr>
        <w:t>28,17</w:t>
      </w:r>
      <w:r w:rsidRPr="00983159">
        <w:rPr>
          <w:rFonts w:ascii="TyponineSans Reg" w:hAnsi="TyponineSans Reg"/>
          <w:i w:val="0"/>
          <w:iCs/>
          <w:szCs w:val="22"/>
        </w:rPr>
        <w:t>%</w:t>
      </w:r>
      <w:r w:rsidR="00CC497C">
        <w:rPr>
          <w:rFonts w:ascii="TyponineSans Reg" w:hAnsi="TyponineSans Reg"/>
          <w:i w:val="0"/>
          <w:iCs/>
          <w:szCs w:val="22"/>
        </w:rPr>
        <w:t xml:space="preserve"> odnosno 92.815,44 EUR</w:t>
      </w:r>
      <w:r w:rsidRPr="00983159">
        <w:rPr>
          <w:rFonts w:ascii="TyponineSans Reg" w:hAnsi="TyponineSans Reg"/>
          <w:i w:val="0"/>
          <w:iCs/>
          <w:szCs w:val="22"/>
        </w:rPr>
        <w:t>. Od ukupno iskazanih rashoda ulagalo</w:t>
      </w:r>
      <w:r w:rsidR="00CA32A8" w:rsidRPr="00983159">
        <w:rPr>
          <w:rFonts w:ascii="TyponineSans Reg" w:hAnsi="TyponineSans Reg"/>
          <w:i w:val="0"/>
          <w:iCs/>
          <w:szCs w:val="22"/>
        </w:rPr>
        <w:t xml:space="preserve"> se</w:t>
      </w:r>
      <w:r w:rsidRPr="00983159">
        <w:rPr>
          <w:rFonts w:ascii="TyponineSans Reg" w:hAnsi="TyponineSans Reg"/>
          <w:i w:val="0"/>
          <w:iCs/>
          <w:szCs w:val="22"/>
        </w:rPr>
        <w:t xml:space="preserve"> u</w:t>
      </w:r>
      <w:r w:rsidR="00CA32A8" w:rsidRPr="00983159">
        <w:rPr>
          <w:rFonts w:ascii="TyponineSans Reg" w:hAnsi="TyponineSans Reg"/>
          <w:i w:val="0"/>
          <w:iCs/>
          <w:szCs w:val="22"/>
        </w:rPr>
        <w:t xml:space="preserve"> nabavu</w:t>
      </w:r>
      <w:r w:rsidRPr="00983159">
        <w:rPr>
          <w:rFonts w:ascii="TyponineSans Reg" w:hAnsi="TyponineSans Reg"/>
          <w:i w:val="0"/>
          <w:iCs/>
          <w:szCs w:val="22"/>
        </w:rPr>
        <w:t xml:space="preserve"> uređaj</w:t>
      </w:r>
      <w:r w:rsidR="00CA32A8" w:rsidRPr="00983159">
        <w:rPr>
          <w:rFonts w:ascii="TyponineSans Reg" w:hAnsi="TyponineSans Reg"/>
          <w:i w:val="0"/>
          <w:iCs/>
          <w:szCs w:val="22"/>
        </w:rPr>
        <w:t>a</w:t>
      </w:r>
      <w:r w:rsidRPr="00983159">
        <w:rPr>
          <w:rFonts w:ascii="TyponineSans Reg" w:hAnsi="TyponineSans Reg"/>
          <w:i w:val="0"/>
          <w:iCs/>
          <w:szCs w:val="22"/>
        </w:rPr>
        <w:t>, strojev</w:t>
      </w:r>
      <w:r w:rsidR="00CA32A8" w:rsidRPr="00983159">
        <w:rPr>
          <w:rFonts w:ascii="TyponineSans Reg" w:hAnsi="TyponineSans Reg"/>
          <w:i w:val="0"/>
          <w:iCs/>
          <w:szCs w:val="22"/>
        </w:rPr>
        <w:t>a</w:t>
      </w:r>
      <w:r w:rsidRPr="00983159">
        <w:rPr>
          <w:rFonts w:ascii="TyponineSans Reg" w:hAnsi="TyponineSans Reg"/>
          <w:i w:val="0"/>
          <w:iCs/>
          <w:szCs w:val="22"/>
        </w:rPr>
        <w:t xml:space="preserve"> i oprem</w:t>
      </w:r>
      <w:r w:rsidR="00CA32A8" w:rsidRPr="00983159">
        <w:rPr>
          <w:rFonts w:ascii="TyponineSans Reg" w:hAnsi="TyponineSans Reg"/>
          <w:i w:val="0"/>
          <w:iCs/>
          <w:szCs w:val="22"/>
        </w:rPr>
        <w:t>e</w:t>
      </w:r>
      <w:r w:rsidRPr="00983159">
        <w:rPr>
          <w:rFonts w:ascii="TyponineSans Reg" w:hAnsi="TyponineSans Reg"/>
          <w:i w:val="0"/>
          <w:iCs/>
          <w:szCs w:val="22"/>
        </w:rPr>
        <w:t xml:space="preserve"> za ostale namjene u iznosu </w:t>
      </w:r>
      <w:r w:rsidR="00CA32A8" w:rsidRPr="00983159">
        <w:rPr>
          <w:rFonts w:ascii="TyponineSans Reg" w:hAnsi="TyponineSans Reg"/>
          <w:i w:val="0"/>
          <w:iCs/>
          <w:szCs w:val="22"/>
        </w:rPr>
        <w:t>109.539,18</w:t>
      </w:r>
      <w:r w:rsidRPr="00983159">
        <w:rPr>
          <w:rFonts w:ascii="TyponineSans Reg" w:hAnsi="TyponineSans Reg"/>
          <w:i w:val="0"/>
          <w:iCs/>
          <w:szCs w:val="22"/>
        </w:rPr>
        <w:t xml:space="preserve"> </w:t>
      </w:r>
      <w:r w:rsidR="00C87716" w:rsidRPr="00983159">
        <w:rPr>
          <w:rFonts w:ascii="TyponineSans Reg" w:hAnsi="TyponineSans Reg"/>
          <w:i w:val="0"/>
          <w:iCs/>
          <w:szCs w:val="22"/>
        </w:rPr>
        <w:t>EUR</w:t>
      </w:r>
      <w:r w:rsidRPr="00983159">
        <w:rPr>
          <w:rFonts w:ascii="TyponineSans Reg" w:hAnsi="TyponineSans Reg"/>
          <w:i w:val="0"/>
          <w:iCs/>
          <w:szCs w:val="22"/>
        </w:rPr>
        <w:t xml:space="preserve">, </w:t>
      </w:r>
      <w:r w:rsidR="00CA32A8" w:rsidRPr="00983159">
        <w:rPr>
          <w:rFonts w:ascii="TyponineSans Reg" w:hAnsi="TyponineSans Reg"/>
          <w:i w:val="0"/>
          <w:iCs/>
          <w:szCs w:val="22"/>
        </w:rPr>
        <w:t>opremu za održavanje i zaštitu 59.549,71 EUR,</w:t>
      </w:r>
      <w:r w:rsidRPr="00983159">
        <w:rPr>
          <w:rFonts w:ascii="TyponineSans Reg" w:hAnsi="TyponineSans Reg"/>
          <w:i w:val="0"/>
          <w:iCs/>
          <w:szCs w:val="22"/>
        </w:rPr>
        <w:t xml:space="preserve"> uredsku opremu 2</w:t>
      </w:r>
      <w:r w:rsidR="00CA32A8" w:rsidRPr="00983159">
        <w:rPr>
          <w:rFonts w:ascii="TyponineSans Reg" w:hAnsi="TyponineSans Reg"/>
          <w:i w:val="0"/>
          <w:iCs/>
          <w:szCs w:val="22"/>
        </w:rPr>
        <w:t>3.385,71</w:t>
      </w:r>
      <w:r w:rsidRPr="00983159">
        <w:rPr>
          <w:rFonts w:ascii="TyponineSans Reg" w:hAnsi="TyponineSans Reg"/>
          <w:i w:val="0"/>
          <w:iCs/>
          <w:szCs w:val="22"/>
        </w:rPr>
        <w:t xml:space="preserve"> </w:t>
      </w:r>
      <w:r w:rsidR="00C87716" w:rsidRPr="00983159">
        <w:rPr>
          <w:rFonts w:ascii="TyponineSans Reg" w:hAnsi="TyponineSans Reg"/>
          <w:i w:val="0"/>
          <w:iCs/>
          <w:szCs w:val="22"/>
        </w:rPr>
        <w:t>EUR</w:t>
      </w:r>
      <w:r w:rsidR="00CA32A8" w:rsidRPr="00983159">
        <w:rPr>
          <w:rFonts w:ascii="TyponineSans Reg" w:hAnsi="TyponineSans Reg"/>
          <w:i w:val="0"/>
          <w:iCs/>
          <w:szCs w:val="22"/>
        </w:rPr>
        <w:t>,</w:t>
      </w:r>
      <w:r w:rsidRPr="00983159">
        <w:rPr>
          <w:rFonts w:ascii="TyponineSans Reg" w:hAnsi="TyponineSans Reg"/>
          <w:i w:val="0"/>
          <w:iCs/>
          <w:szCs w:val="22"/>
        </w:rPr>
        <w:t xml:space="preserve"> komunikacijsku opremu 2</w:t>
      </w:r>
      <w:r w:rsidR="00CA32A8" w:rsidRPr="00983159">
        <w:rPr>
          <w:rFonts w:ascii="TyponineSans Reg" w:hAnsi="TyponineSans Reg"/>
          <w:i w:val="0"/>
          <w:iCs/>
          <w:szCs w:val="22"/>
        </w:rPr>
        <w:t>1</w:t>
      </w:r>
      <w:r w:rsidRPr="00983159">
        <w:rPr>
          <w:rFonts w:ascii="TyponineSans Reg" w:hAnsi="TyponineSans Reg"/>
          <w:i w:val="0"/>
          <w:iCs/>
          <w:szCs w:val="22"/>
        </w:rPr>
        <w:t xml:space="preserve">.050,27 </w:t>
      </w:r>
      <w:r w:rsidR="00C87716" w:rsidRPr="00983159">
        <w:rPr>
          <w:rFonts w:ascii="TyponineSans Reg" w:hAnsi="TyponineSans Reg"/>
          <w:i w:val="0"/>
          <w:iCs/>
          <w:szCs w:val="22"/>
        </w:rPr>
        <w:t>EUR</w:t>
      </w:r>
      <w:r w:rsidRPr="00983159">
        <w:rPr>
          <w:rFonts w:ascii="TyponineSans Reg" w:hAnsi="TyponineSans Reg"/>
          <w:i w:val="0"/>
          <w:iCs/>
          <w:szCs w:val="22"/>
        </w:rPr>
        <w:t>, instrumente</w:t>
      </w:r>
      <w:r w:rsidR="006F0622" w:rsidRPr="00983159">
        <w:rPr>
          <w:rFonts w:ascii="TyponineSans Reg" w:hAnsi="TyponineSans Reg"/>
          <w:i w:val="0"/>
          <w:iCs/>
          <w:szCs w:val="22"/>
        </w:rPr>
        <w:t xml:space="preserve">, </w:t>
      </w:r>
      <w:r w:rsidRPr="00983159">
        <w:rPr>
          <w:rFonts w:ascii="TyponineSans Reg" w:hAnsi="TyponineSans Reg"/>
          <w:i w:val="0"/>
          <w:iCs/>
          <w:szCs w:val="22"/>
        </w:rPr>
        <w:t>uređaje</w:t>
      </w:r>
      <w:r w:rsidR="006F0622" w:rsidRPr="00983159">
        <w:rPr>
          <w:rFonts w:ascii="TyponineSans Reg" w:hAnsi="TyponineSans Reg"/>
          <w:i w:val="0"/>
          <w:iCs/>
          <w:szCs w:val="22"/>
        </w:rPr>
        <w:t xml:space="preserve"> i stojeve 17.843,78 i sportsku</w:t>
      </w:r>
      <w:r w:rsidRPr="00983159">
        <w:rPr>
          <w:rFonts w:ascii="TyponineSans Reg" w:hAnsi="TyponineSans Reg"/>
          <w:i w:val="0"/>
          <w:iCs/>
          <w:szCs w:val="22"/>
        </w:rPr>
        <w:t xml:space="preserve"> opremu </w:t>
      </w:r>
      <w:r w:rsidR="006F0622" w:rsidRPr="00983159">
        <w:rPr>
          <w:rFonts w:ascii="TyponineSans Reg" w:hAnsi="TyponineSans Reg"/>
          <w:i w:val="0"/>
          <w:iCs/>
          <w:szCs w:val="22"/>
        </w:rPr>
        <w:t>5.200</w:t>
      </w:r>
      <w:r w:rsidRPr="00983159">
        <w:rPr>
          <w:rFonts w:ascii="TyponineSans Reg" w:hAnsi="TyponineSans Reg"/>
          <w:i w:val="0"/>
          <w:iCs/>
          <w:szCs w:val="22"/>
        </w:rPr>
        <w:t xml:space="preserve"> </w:t>
      </w:r>
      <w:r w:rsidR="00C87716" w:rsidRPr="00983159">
        <w:rPr>
          <w:rFonts w:ascii="TyponineSans Reg" w:hAnsi="TyponineSans Reg"/>
          <w:i w:val="0"/>
          <w:iCs/>
          <w:szCs w:val="22"/>
        </w:rPr>
        <w:t>EUR</w:t>
      </w:r>
      <w:r w:rsidR="006F0622" w:rsidRPr="00983159">
        <w:rPr>
          <w:rFonts w:ascii="TyponineSans Reg" w:hAnsi="TyponineSans Reg"/>
          <w:i w:val="0"/>
          <w:iCs/>
          <w:szCs w:val="22"/>
        </w:rPr>
        <w:t>.</w:t>
      </w:r>
    </w:p>
    <w:p w14:paraId="762E510C" w14:textId="5872B154" w:rsidR="00697490" w:rsidRPr="00983159" w:rsidRDefault="00697490" w:rsidP="00697490">
      <w:pPr>
        <w:pStyle w:val="BodyText2"/>
        <w:numPr>
          <w:ilvl w:val="0"/>
          <w:numId w:val="16"/>
        </w:numPr>
        <w:ind w:left="1070"/>
        <w:rPr>
          <w:rFonts w:ascii="TyponineSans Reg" w:hAnsi="TyponineSans Reg"/>
          <w:i w:val="0"/>
          <w:iCs/>
          <w:szCs w:val="22"/>
        </w:rPr>
      </w:pPr>
      <w:r w:rsidRPr="00983159">
        <w:rPr>
          <w:rFonts w:ascii="TyponineSans Reg" w:hAnsi="TyponineSans Reg"/>
          <w:i w:val="0"/>
          <w:iCs/>
          <w:szCs w:val="22"/>
        </w:rPr>
        <w:t xml:space="preserve">Rashodi za nabavku prijevoznih sredstava u iznosu </w:t>
      </w:r>
      <w:r w:rsidR="006F0622" w:rsidRPr="00983159">
        <w:rPr>
          <w:rFonts w:ascii="TyponineSans Reg" w:hAnsi="TyponineSans Reg"/>
          <w:i w:val="0"/>
          <w:iCs/>
          <w:szCs w:val="22"/>
        </w:rPr>
        <w:t>56.198,52</w:t>
      </w:r>
      <w:r w:rsidRPr="00983159">
        <w:rPr>
          <w:rFonts w:ascii="TyponineSans Reg" w:hAnsi="TyponineSans Reg"/>
          <w:i w:val="0"/>
          <w:iCs/>
          <w:szCs w:val="22"/>
        </w:rPr>
        <w:t xml:space="preserve"> </w:t>
      </w:r>
      <w:r w:rsidR="00C87716" w:rsidRPr="00983159">
        <w:rPr>
          <w:rFonts w:ascii="TyponineSans Reg" w:hAnsi="TyponineSans Reg"/>
          <w:i w:val="0"/>
          <w:iCs/>
          <w:szCs w:val="22"/>
        </w:rPr>
        <w:t>EUR</w:t>
      </w:r>
      <w:r w:rsidRPr="00983159">
        <w:rPr>
          <w:rFonts w:ascii="TyponineSans Reg" w:hAnsi="TyponineSans Reg"/>
          <w:i w:val="0"/>
          <w:iCs/>
          <w:szCs w:val="22"/>
        </w:rPr>
        <w:t xml:space="preserve">  odnose se na nabavljena prijevozna sredstva u cestovnom prometu, teretno vozilo</w:t>
      </w:r>
      <w:r w:rsidR="003507FC" w:rsidRPr="00983159">
        <w:rPr>
          <w:rFonts w:ascii="TyponineSans Reg" w:hAnsi="TyponineSans Reg"/>
          <w:i w:val="0"/>
          <w:iCs/>
          <w:szCs w:val="22"/>
        </w:rPr>
        <w:t xml:space="preserve"> i</w:t>
      </w:r>
      <w:r w:rsidRPr="00983159">
        <w:rPr>
          <w:rFonts w:ascii="TyponineSans Reg" w:hAnsi="TyponineSans Reg"/>
          <w:i w:val="0"/>
          <w:iCs/>
          <w:szCs w:val="22"/>
        </w:rPr>
        <w:t xml:space="preserve"> dostavno vozilo. </w:t>
      </w:r>
    </w:p>
    <w:p w14:paraId="32F8691F" w14:textId="7A99EDCA" w:rsidR="003507FC" w:rsidRPr="00983159" w:rsidRDefault="003507FC" w:rsidP="00697490">
      <w:pPr>
        <w:pStyle w:val="BodyText2"/>
        <w:numPr>
          <w:ilvl w:val="0"/>
          <w:numId w:val="16"/>
        </w:numPr>
        <w:ind w:left="1070"/>
        <w:rPr>
          <w:rFonts w:ascii="TyponineSans Reg" w:hAnsi="TyponineSans Reg"/>
          <w:i w:val="0"/>
          <w:iCs/>
          <w:szCs w:val="22"/>
        </w:rPr>
      </w:pPr>
      <w:r w:rsidRPr="00983159">
        <w:rPr>
          <w:rFonts w:ascii="TyponineSans Reg" w:hAnsi="TyponineSans Reg"/>
          <w:i w:val="0"/>
          <w:iCs/>
          <w:szCs w:val="22"/>
        </w:rPr>
        <w:t>Knjige, umjetnička djela i ostale izložbene vrijednosti ostv</w:t>
      </w:r>
      <w:r w:rsidR="0019273C" w:rsidRPr="00983159">
        <w:rPr>
          <w:rFonts w:ascii="TyponineSans Reg" w:hAnsi="TyponineSans Reg"/>
          <w:i w:val="0"/>
          <w:iCs/>
          <w:szCs w:val="22"/>
        </w:rPr>
        <w:t>a</w:t>
      </w:r>
      <w:r w:rsidRPr="00983159">
        <w:rPr>
          <w:rFonts w:ascii="TyponineSans Reg" w:hAnsi="TyponineSans Reg"/>
          <w:i w:val="0"/>
          <w:iCs/>
          <w:szCs w:val="22"/>
        </w:rPr>
        <w:t>rene u iznosu 11.800 EUR čine rashodi postavljanja stalnog interpretacijskog postava na temu oprašivača</w:t>
      </w:r>
      <w:r w:rsidR="0019273C" w:rsidRPr="00983159">
        <w:rPr>
          <w:rFonts w:ascii="TyponineSans Reg" w:hAnsi="TyponineSans Reg"/>
          <w:i w:val="0"/>
          <w:iCs/>
          <w:szCs w:val="22"/>
        </w:rPr>
        <w:t xml:space="preserve"> financiran</w:t>
      </w:r>
      <w:r w:rsidR="005C29F3" w:rsidRPr="00983159">
        <w:rPr>
          <w:rFonts w:ascii="TyponineSans Reg" w:hAnsi="TyponineSans Reg"/>
          <w:i w:val="0"/>
          <w:iCs/>
          <w:szCs w:val="22"/>
        </w:rPr>
        <w:t xml:space="preserve">ih dodjeljenim </w:t>
      </w:r>
      <w:r w:rsidR="0019273C" w:rsidRPr="00983159">
        <w:rPr>
          <w:rFonts w:ascii="TyponineSans Reg" w:hAnsi="TyponineSans Reg"/>
          <w:i w:val="0"/>
          <w:iCs/>
          <w:szCs w:val="22"/>
        </w:rPr>
        <w:t xml:space="preserve">sredstvima </w:t>
      </w:r>
      <w:r w:rsidR="005C29F3" w:rsidRPr="00983159">
        <w:rPr>
          <w:rFonts w:ascii="TyponineSans Reg" w:hAnsi="TyponineSans Reg"/>
          <w:i w:val="0"/>
          <w:iCs/>
          <w:szCs w:val="22"/>
        </w:rPr>
        <w:t>iz Zajedničkih sredstva nadležnog Misnistarstva za program očuvanja divljih oprašivača i donacija slike „We are Butter flies“ autorice Eve Petrič.</w:t>
      </w:r>
    </w:p>
    <w:p w14:paraId="69E83524" w14:textId="77777777" w:rsidR="00697490" w:rsidRPr="00983159" w:rsidRDefault="00697490" w:rsidP="00697490">
      <w:pPr>
        <w:pStyle w:val="ListParagraph"/>
        <w:rPr>
          <w:rFonts w:ascii="TyponineSans Reg" w:hAnsi="TyponineSans Reg"/>
          <w:szCs w:val="22"/>
        </w:rPr>
      </w:pPr>
    </w:p>
    <w:p w14:paraId="63922256" w14:textId="4E8470F5" w:rsidR="00B46A27" w:rsidRPr="00983159" w:rsidRDefault="00697490" w:rsidP="003833D8">
      <w:pPr>
        <w:jc w:val="both"/>
        <w:rPr>
          <w:rFonts w:ascii="TyponineSans Reg" w:hAnsi="TyponineSans Reg"/>
          <w:sz w:val="24"/>
        </w:rPr>
      </w:pPr>
      <w:r w:rsidRPr="00983159">
        <w:rPr>
          <w:rFonts w:ascii="TyponineSans Reg" w:hAnsi="TyponineSans Reg"/>
          <w:szCs w:val="22"/>
        </w:rPr>
        <w:t xml:space="preserve">Rashodi za dodatna ulaganja na nefinancijskoj imovini ostvareni su u iznosu </w:t>
      </w:r>
      <w:r w:rsidR="003F256F" w:rsidRPr="00983159">
        <w:rPr>
          <w:rFonts w:ascii="TyponineSans Reg" w:hAnsi="TyponineSans Reg"/>
          <w:szCs w:val="22"/>
        </w:rPr>
        <w:t>23.979,61</w:t>
      </w:r>
      <w:r w:rsidRPr="00983159">
        <w:rPr>
          <w:rFonts w:ascii="TyponineSans Reg" w:hAnsi="TyponineSans Reg"/>
          <w:szCs w:val="22"/>
        </w:rPr>
        <w:t xml:space="preserve"> </w:t>
      </w:r>
      <w:r w:rsidR="00C87716" w:rsidRPr="00983159">
        <w:rPr>
          <w:rFonts w:ascii="TyponineSans Reg" w:hAnsi="TyponineSans Reg"/>
          <w:szCs w:val="22"/>
        </w:rPr>
        <w:t>EUR</w:t>
      </w:r>
      <w:r w:rsidRPr="00983159">
        <w:rPr>
          <w:rFonts w:ascii="TyponineSans Reg" w:hAnsi="TyponineSans Reg"/>
          <w:szCs w:val="22"/>
        </w:rPr>
        <w:t xml:space="preserve"> i </w:t>
      </w:r>
      <w:r w:rsidR="003F256F" w:rsidRPr="00983159">
        <w:rPr>
          <w:rFonts w:ascii="TyponineSans Reg" w:hAnsi="TyponineSans Reg"/>
          <w:szCs w:val="22"/>
        </w:rPr>
        <w:t>veći</w:t>
      </w:r>
      <w:r w:rsidRPr="00983159">
        <w:rPr>
          <w:rFonts w:ascii="TyponineSans Reg" w:hAnsi="TyponineSans Reg"/>
          <w:szCs w:val="22"/>
        </w:rPr>
        <w:t xml:space="preserve"> su u odnosu na </w:t>
      </w:r>
      <w:r w:rsidR="003F256F" w:rsidRPr="00983159">
        <w:rPr>
          <w:rFonts w:ascii="TyponineSans Reg" w:hAnsi="TyponineSans Reg"/>
          <w:szCs w:val="22"/>
        </w:rPr>
        <w:t xml:space="preserve">rashode </w:t>
      </w:r>
      <w:r w:rsidRPr="00983159">
        <w:rPr>
          <w:rFonts w:ascii="TyponineSans Reg" w:hAnsi="TyponineSans Reg"/>
          <w:szCs w:val="22"/>
        </w:rPr>
        <w:t>ostvaren</w:t>
      </w:r>
      <w:r w:rsidR="003F256F" w:rsidRPr="00983159">
        <w:rPr>
          <w:rFonts w:ascii="TyponineSans Reg" w:hAnsi="TyponineSans Reg"/>
          <w:szCs w:val="22"/>
        </w:rPr>
        <w:t>e</w:t>
      </w:r>
      <w:r w:rsidRPr="00983159">
        <w:rPr>
          <w:rFonts w:ascii="TyponineSans Reg" w:hAnsi="TyponineSans Reg"/>
          <w:szCs w:val="22"/>
        </w:rPr>
        <w:t xml:space="preserve"> u 202</w:t>
      </w:r>
      <w:r w:rsidR="003F256F" w:rsidRPr="00983159">
        <w:rPr>
          <w:rFonts w:ascii="TyponineSans Reg" w:hAnsi="TyponineSans Reg"/>
          <w:szCs w:val="22"/>
        </w:rPr>
        <w:t>3</w:t>
      </w:r>
      <w:r w:rsidRPr="00983159">
        <w:rPr>
          <w:rFonts w:ascii="TyponineSans Reg" w:hAnsi="TyponineSans Reg"/>
          <w:szCs w:val="22"/>
        </w:rPr>
        <w:t>. godini</w:t>
      </w:r>
      <w:r w:rsidR="003F7784">
        <w:rPr>
          <w:rFonts w:ascii="TyponineSans Reg" w:hAnsi="TyponineSans Reg"/>
          <w:szCs w:val="22"/>
        </w:rPr>
        <w:t xml:space="preserve"> za 202,02% odnosno 16.039,94 EUR</w:t>
      </w:r>
      <w:r w:rsidR="003F256F" w:rsidRPr="00983159">
        <w:rPr>
          <w:rFonts w:ascii="TyponineSans Reg" w:hAnsi="TyponineSans Reg"/>
          <w:szCs w:val="22"/>
        </w:rPr>
        <w:t xml:space="preserve">. </w:t>
      </w:r>
      <w:r w:rsidRPr="00983159">
        <w:rPr>
          <w:rFonts w:ascii="TyponineSans Reg" w:hAnsi="TyponineSans Reg"/>
          <w:szCs w:val="22"/>
        </w:rPr>
        <w:t xml:space="preserve">Rashodi za dodatna ulaganja na </w:t>
      </w:r>
      <w:r w:rsidR="003F256F" w:rsidRPr="00983159">
        <w:rPr>
          <w:rFonts w:ascii="TyponineSans Reg" w:hAnsi="TyponineSans Reg"/>
          <w:szCs w:val="22"/>
        </w:rPr>
        <w:t xml:space="preserve">nefinancijskoj imovini </w:t>
      </w:r>
      <w:r w:rsidRPr="00983159">
        <w:rPr>
          <w:rFonts w:ascii="TyponineSans Reg" w:hAnsi="TyponineSans Reg"/>
          <w:szCs w:val="22"/>
        </w:rPr>
        <w:t>u 202</w:t>
      </w:r>
      <w:r w:rsidR="003F256F" w:rsidRPr="00983159">
        <w:rPr>
          <w:rFonts w:ascii="TyponineSans Reg" w:hAnsi="TyponineSans Reg"/>
          <w:szCs w:val="22"/>
        </w:rPr>
        <w:t>4</w:t>
      </w:r>
      <w:r w:rsidRPr="00983159">
        <w:rPr>
          <w:rFonts w:ascii="TyponineSans Reg" w:hAnsi="TyponineSans Reg"/>
          <w:szCs w:val="22"/>
        </w:rPr>
        <w:t xml:space="preserve">. godini odnose se na </w:t>
      </w:r>
      <w:r w:rsidR="003F256F" w:rsidRPr="00983159">
        <w:rPr>
          <w:rFonts w:ascii="TyponineSans Reg" w:hAnsi="TyponineSans Reg"/>
          <w:szCs w:val="22"/>
        </w:rPr>
        <w:t>dodatna ulaganja na postrojenjima i opremi, i to klimatizacijskom sustavu , računalnoj i telekomunikacijskoj mreži i ugradnji solarne konzole u parkovnu klupu</w:t>
      </w:r>
      <w:r w:rsidR="00255ED0" w:rsidRPr="00983159">
        <w:rPr>
          <w:rFonts w:ascii="TyponineSans Reg" w:hAnsi="TyponineSans Reg"/>
          <w:szCs w:val="22"/>
        </w:rPr>
        <w:t>.</w:t>
      </w:r>
    </w:p>
    <w:p w14:paraId="37A12C05" w14:textId="3D229D26" w:rsidR="00B46A27" w:rsidRPr="00983159" w:rsidRDefault="00B46A27" w:rsidP="009761AC">
      <w:pPr>
        <w:rPr>
          <w:rFonts w:ascii="TyponineSans Reg" w:hAnsi="TyponineSans Reg"/>
          <w:sz w:val="24"/>
        </w:rPr>
      </w:pPr>
    </w:p>
    <w:p w14:paraId="2B83152D" w14:textId="5ED016CB" w:rsidR="00B46A27" w:rsidRPr="00983159" w:rsidRDefault="00B46A27" w:rsidP="009761AC">
      <w:pPr>
        <w:rPr>
          <w:rFonts w:ascii="TyponineSans Reg" w:hAnsi="TyponineSans Reg"/>
          <w:sz w:val="24"/>
        </w:rPr>
      </w:pPr>
    </w:p>
    <w:p w14:paraId="7215BB75" w14:textId="38D1DFF6" w:rsidR="00D73530" w:rsidRPr="00D6355E" w:rsidRDefault="00D73530" w:rsidP="00D73530">
      <w:pPr>
        <w:jc w:val="both"/>
        <w:rPr>
          <w:rFonts w:ascii="TyponineSans Reg" w:hAnsi="TyponineSans Reg"/>
          <w:b/>
          <w:sz w:val="24"/>
          <w:szCs w:val="24"/>
        </w:rPr>
      </w:pPr>
      <w:r w:rsidRPr="00D6355E">
        <w:rPr>
          <w:rFonts w:ascii="TyponineSans Reg" w:hAnsi="TyponineSans Reg"/>
          <w:b/>
          <w:sz w:val="26"/>
          <w:szCs w:val="26"/>
        </w:rPr>
        <w:t xml:space="preserve">Bilješka br. </w:t>
      </w:r>
      <w:r w:rsidR="00D6355E" w:rsidRPr="00D6355E">
        <w:rPr>
          <w:rFonts w:ascii="TyponineSans Reg" w:hAnsi="TyponineSans Reg"/>
          <w:b/>
          <w:sz w:val="26"/>
          <w:szCs w:val="26"/>
        </w:rPr>
        <w:t>1</w:t>
      </w:r>
      <w:r w:rsidRPr="00D6355E">
        <w:rPr>
          <w:rFonts w:ascii="TyponineSans Reg" w:hAnsi="TyponineSans Reg"/>
          <w:b/>
          <w:sz w:val="26"/>
          <w:szCs w:val="26"/>
        </w:rPr>
        <w:t>.</w:t>
      </w:r>
      <w:r w:rsidR="00D6355E">
        <w:rPr>
          <w:rFonts w:ascii="TyponineSans Reg" w:hAnsi="TyponineSans Reg"/>
          <w:b/>
          <w:sz w:val="26"/>
          <w:szCs w:val="26"/>
        </w:rPr>
        <w:t>4</w:t>
      </w:r>
      <w:r w:rsidRPr="00D6355E">
        <w:rPr>
          <w:rFonts w:ascii="TyponineSans Reg" w:hAnsi="TyponineSans Reg"/>
          <w:b/>
          <w:sz w:val="26"/>
          <w:szCs w:val="26"/>
        </w:rPr>
        <w:t>. – Primici i izdaci od financijske imovine</w:t>
      </w:r>
    </w:p>
    <w:p w14:paraId="46C56367" w14:textId="77777777" w:rsidR="00D73530" w:rsidRPr="00D6355E" w:rsidRDefault="00D73530" w:rsidP="00D73530">
      <w:pPr>
        <w:jc w:val="both"/>
        <w:rPr>
          <w:rFonts w:ascii="TyponineSans Reg" w:hAnsi="TyponineSans Reg"/>
          <w:b/>
          <w:sz w:val="24"/>
        </w:rPr>
      </w:pPr>
    </w:p>
    <w:p w14:paraId="1D832F7A" w14:textId="01FDE9D4" w:rsidR="00752053" w:rsidRPr="008C3072" w:rsidRDefault="00752053" w:rsidP="00DE6285">
      <w:pPr>
        <w:jc w:val="both"/>
        <w:rPr>
          <w:rFonts w:ascii="TyponineSans Reg" w:hAnsi="TyponineSans Reg"/>
          <w:szCs w:val="22"/>
        </w:rPr>
      </w:pPr>
      <w:r w:rsidRPr="008C3072">
        <w:rPr>
          <w:rFonts w:ascii="TyponineSans Reg" w:hAnsi="TyponineSans Reg"/>
          <w:szCs w:val="22"/>
        </w:rPr>
        <w:t>U obrascu PR-RAS za</w:t>
      </w:r>
      <w:r w:rsidR="00B208F2" w:rsidRPr="008C3072">
        <w:rPr>
          <w:rFonts w:ascii="TyponineSans Reg" w:hAnsi="TyponineSans Reg"/>
          <w:szCs w:val="22"/>
        </w:rPr>
        <w:t xml:space="preserve"> razdoblje od siječnja do prosinca</w:t>
      </w:r>
      <w:r w:rsidR="00AA50FD" w:rsidRPr="008C3072">
        <w:rPr>
          <w:rFonts w:ascii="TyponineSans Reg" w:hAnsi="TyponineSans Reg"/>
          <w:szCs w:val="22"/>
        </w:rPr>
        <w:t xml:space="preserve"> 20</w:t>
      </w:r>
      <w:r w:rsidR="00E06758" w:rsidRPr="008C3072">
        <w:rPr>
          <w:rFonts w:ascii="TyponineSans Reg" w:hAnsi="TyponineSans Reg"/>
          <w:szCs w:val="22"/>
        </w:rPr>
        <w:t>2</w:t>
      </w:r>
      <w:r w:rsidR="002873F0" w:rsidRPr="008C3072">
        <w:rPr>
          <w:rFonts w:ascii="TyponineSans Reg" w:hAnsi="TyponineSans Reg"/>
          <w:szCs w:val="22"/>
        </w:rPr>
        <w:t>4</w:t>
      </w:r>
      <w:r w:rsidRPr="008C3072">
        <w:rPr>
          <w:rFonts w:ascii="TyponineSans Reg" w:hAnsi="TyponineSans Reg"/>
          <w:szCs w:val="22"/>
        </w:rPr>
        <w:t>. godine n</w:t>
      </w:r>
      <w:r w:rsidR="00C82F52" w:rsidRPr="008C3072">
        <w:rPr>
          <w:rFonts w:ascii="TyponineSans Reg" w:hAnsi="TyponineSans Reg"/>
          <w:szCs w:val="22"/>
        </w:rPr>
        <w:t xml:space="preserve">a pozicijama </w:t>
      </w:r>
      <w:r w:rsidR="0005249C" w:rsidRPr="008C3072">
        <w:rPr>
          <w:rFonts w:ascii="TyponineSans Reg" w:hAnsi="TyponineSans Reg"/>
          <w:szCs w:val="22"/>
        </w:rPr>
        <w:t xml:space="preserve">od </w:t>
      </w:r>
      <w:r w:rsidR="00E348EB" w:rsidRPr="008C3072">
        <w:rPr>
          <w:rFonts w:ascii="TyponineSans Reg" w:hAnsi="TyponineSans Reg"/>
          <w:szCs w:val="22"/>
        </w:rPr>
        <w:t>AOP-a  41</w:t>
      </w:r>
      <w:r w:rsidR="00E06758" w:rsidRPr="008C3072">
        <w:rPr>
          <w:rFonts w:ascii="TyponineSans Reg" w:hAnsi="TyponineSans Reg"/>
          <w:szCs w:val="22"/>
        </w:rPr>
        <w:t>3</w:t>
      </w:r>
      <w:r w:rsidR="00C82F52" w:rsidRPr="008C3072">
        <w:rPr>
          <w:rFonts w:ascii="TyponineSans Reg" w:hAnsi="TyponineSans Reg"/>
          <w:szCs w:val="22"/>
        </w:rPr>
        <w:t xml:space="preserve"> </w:t>
      </w:r>
      <w:r w:rsidR="0005249C" w:rsidRPr="008C3072">
        <w:rPr>
          <w:rFonts w:ascii="TyponineSans Reg" w:hAnsi="TyponineSans Reg"/>
          <w:szCs w:val="22"/>
        </w:rPr>
        <w:t xml:space="preserve">do AOP-a </w:t>
      </w:r>
      <w:r w:rsidR="00E348EB" w:rsidRPr="008C3072">
        <w:rPr>
          <w:rFonts w:ascii="TyponineSans Reg" w:hAnsi="TyponineSans Reg"/>
          <w:szCs w:val="22"/>
        </w:rPr>
        <w:t>6</w:t>
      </w:r>
      <w:r w:rsidR="00E06758" w:rsidRPr="008C3072">
        <w:rPr>
          <w:rFonts w:ascii="TyponineSans Reg" w:hAnsi="TyponineSans Reg"/>
          <w:szCs w:val="22"/>
        </w:rPr>
        <w:t>31</w:t>
      </w:r>
      <w:r w:rsidRPr="008C3072">
        <w:rPr>
          <w:rFonts w:ascii="TyponineSans Reg" w:hAnsi="TyponineSans Reg"/>
          <w:szCs w:val="22"/>
        </w:rPr>
        <w:t xml:space="preserve"> </w:t>
      </w:r>
      <w:r w:rsidR="00C82F52" w:rsidRPr="008C3072">
        <w:rPr>
          <w:rFonts w:ascii="TyponineSans Reg" w:hAnsi="TyponineSans Reg"/>
          <w:szCs w:val="22"/>
        </w:rPr>
        <w:t>Ustanova</w:t>
      </w:r>
      <w:r w:rsidRPr="008C3072">
        <w:rPr>
          <w:rFonts w:ascii="TyponineSans Reg" w:hAnsi="TyponineSans Reg"/>
          <w:szCs w:val="22"/>
        </w:rPr>
        <w:t xml:space="preserve"> nema evidentiranih primitaka i </w:t>
      </w:r>
      <w:r w:rsidR="00AA50FD" w:rsidRPr="008C3072">
        <w:rPr>
          <w:rFonts w:ascii="TyponineSans Reg" w:hAnsi="TyponineSans Reg"/>
          <w:szCs w:val="22"/>
        </w:rPr>
        <w:t>izdataka za financijsku imovinu budući da je Ustanova sve izdatke tekuće godine financirala iz vlastitih sredstava te sredstava donacija</w:t>
      </w:r>
      <w:r w:rsidR="00E06758" w:rsidRPr="008C3072">
        <w:rPr>
          <w:rFonts w:ascii="TyponineSans Reg" w:hAnsi="TyponineSans Reg"/>
          <w:szCs w:val="22"/>
        </w:rPr>
        <w:t xml:space="preserve"> i financi</w:t>
      </w:r>
      <w:r w:rsidR="003833D8" w:rsidRPr="008C3072">
        <w:rPr>
          <w:rFonts w:ascii="TyponineSans Reg" w:hAnsi="TyponineSans Reg"/>
          <w:szCs w:val="22"/>
        </w:rPr>
        <w:t xml:space="preserve">jskih sredstava </w:t>
      </w:r>
      <w:r w:rsidR="00E06758" w:rsidRPr="008C3072">
        <w:rPr>
          <w:rFonts w:ascii="TyponineSans Reg" w:hAnsi="TyponineSans Reg"/>
          <w:szCs w:val="22"/>
        </w:rPr>
        <w:t>projekata.</w:t>
      </w:r>
      <w:r w:rsidRPr="008C3072">
        <w:rPr>
          <w:rFonts w:ascii="TyponineSans Reg" w:hAnsi="TyponineSans Reg"/>
          <w:szCs w:val="22"/>
        </w:rPr>
        <w:t xml:space="preserve"> </w:t>
      </w:r>
      <w:r w:rsidR="00C82F52" w:rsidRPr="008C3072">
        <w:rPr>
          <w:rFonts w:ascii="TyponineSans Reg" w:hAnsi="TyponineSans Reg"/>
          <w:szCs w:val="22"/>
        </w:rPr>
        <w:t xml:space="preserve"> </w:t>
      </w:r>
    </w:p>
    <w:p w14:paraId="7193B4D9" w14:textId="77777777" w:rsidR="00756FF4" w:rsidRPr="008C3072" w:rsidRDefault="00756FF4" w:rsidP="00DE6285">
      <w:pPr>
        <w:jc w:val="both"/>
        <w:rPr>
          <w:rFonts w:ascii="TyponineSans Reg" w:hAnsi="TyponineSans Reg"/>
          <w:szCs w:val="22"/>
        </w:rPr>
      </w:pPr>
    </w:p>
    <w:p w14:paraId="411AD10D" w14:textId="77777777" w:rsidR="00756FF4" w:rsidRPr="008C3072" w:rsidRDefault="00756FF4" w:rsidP="00DE6285">
      <w:pPr>
        <w:jc w:val="both"/>
        <w:rPr>
          <w:rFonts w:ascii="TyponineSans Reg" w:hAnsi="TyponineSans Reg"/>
          <w:szCs w:val="22"/>
        </w:rPr>
      </w:pPr>
    </w:p>
    <w:p w14:paraId="1EACB370" w14:textId="77777777" w:rsidR="00756FF4" w:rsidRDefault="00756FF4" w:rsidP="00DE6285">
      <w:pPr>
        <w:jc w:val="both"/>
        <w:rPr>
          <w:rFonts w:ascii="TyponineSans Reg" w:hAnsi="TyponineSans Reg"/>
          <w:szCs w:val="22"/>
        </w:rPr>
      </w:pPr>
    </w:p>
    <w:p w14:paraId="7BDEC6AA" w14:textId="77777777" w:rsidR="00756FF4" w:rsidRDefault="00756FF4" w:rsidP="00DE6285">
      <w:pPr>
        <w:jc w:val="both"/>
        <w:rPr>
          <w:rFonts w:ascii="TyponineSans Reg" w:hAnsi="TyponineSans Reg"/>
          <w:szCs w:val="22"/>
        </w:rPr>
      </w:pPr>
    </w:p>
    <w:p w14:paraId="1EB84277" w14:textId="77777777" w:rsidR="00756FF4" w:rsidRDefault="00756FF4" w:rsidP="00DE6285">
      <w:pPr>
        <w:jc w:val="both"/>
        <w:rPr>
          <w:rFonts w:ascii="TyponineSans Reg" w:hAnsi="TyponineSans Reg"/>
          <w:szCs w:val="22"/>
        </w:rPr>
      </w:pPr>
    </w:p>
    <w:p w14:paraId="66C61E08" w14:textId="77777777" w:rsidR="00756FF4" w:rsidRDefault="00756FF4" w:rsidP="00DE6285">
      <w:pPr>
        <w:jc w:val="both"/>
        <w:rPr>
          <w:rFonts w:ascii="TyponineSans Reg" w:hAnsi="TyponineSans Reg"/>
          <w:szCs w:val="22"/>
        </w:rPr>
      </w:pPr>
    </w:p>
    <w:p w14:paraId="5E60284E" w14:textId="77777777" w:rsidR="00756FF4" w:rsidRDefault="00756FF4" w:rsidP="00DE6285">
      <w:pPr>
        <w:jc w:val="both"/>
        <w:rPr>
          <w:rFonts w:ascii="TyponineSans Reg" w:hAnsi="TyponineSans Reg"/>
          <w:szCs w:val="22"/>
        </w:rPr>
      </w:pPr>
    </w:p>
    <w:p w14:paraId="08DF9EBC" w14:textId="77777777" w:rsidR="00756FF4" w:rsidRDefault="00756FF4" w:rsidP="00DE6285">
      <w:pPr>
        <w:jc w:val="both"/>
        <w:rPr>
          <w:rFonts w:ascii="TyponineSans Reg" w:hAnsi="TyponineSans Reg"/>
          <w:szCs w:val="22"/>
        </w:rPr>
      </w:pPr>
    </w:p>
    <w:p w14:paraId="7D30D942" w14:textId="77777777" w:rsidR="00756FF4" w:rsidRDefault="00756FF4" w:rsidP="00DE6285">
      <w:pPr>
        <w:jc w:val="both"/>
        <w:rPr>
          <w:rFonts w:ascii="TyponineSans Reg" w:hAnsi="TyponineSans Reg"/>
          <w:szCs w:val="22"/>
        </w:rPr>
      </w:pPr>
    </w:p>
    <w:p w14:paraId="1C4FFA13" w14:textId="77777777" w:rsidR="00756FF4" w:rsidRDefault="00756FF4" w:rsidP="00DE6285">
      <w:pPr>
        <w:jc w:val="both"/>
        <w:rPr>
          <w:rFonts w:ascii="TyponineSans Reg" w:hAnsi="TyponineSans Reg"/>
          <w:szCs w:val="22"/>
        </w:rPr>
      </w:pPr>
    </w:p>
    <w:p w14:paraId="0FC8E8A8" w14:textId="77777777" w:rsidR="00756FF4" w:rsidRPr="00D6355E" w:rsidRDefault="00756FF4" w:rsidP="00DE6285">
      <w:pPr>
        <w:jc w:val="both"/>
        <w:rPr>
          <w:rFonts w:ascii="TyponineSans Reg" w:hAnsi="TyponineSans Reg"/>
          <w:szCs w:val="22"/>
        </w:rPr>
      </w:pPr>
    </w:p>
    <w:p w14:paraId="458023FB" w14:textId="77777777" w:rsidR="00F23A8E" w:rsidRDefault="00F23A8E" w:rsidP="00DE6285">
      <w:pPr>
        <w:jc w:val="both"/>
        <w:rPr>
          <w:rFonts w:ascii="TyponineSans Reg" w:hAnsi="TyponineSans Reg"/>
          <w:szCs w:val="22"/>
        </w:rPr>
      </w:pPr>
    </w:p>
    <w:p w14:paraId="04AFD6AF" w14:textId="77777777" w:rsidR="004516D2" w:rsidRDefault="004516D2" w:rsidP="00DE6285">
      <w:pPr>
        <w:jc w:val="both"/>
        <w:rPr>
          <w:rFonts w:ascii="TyponineSans Reg" w:hAnsi="TyponineSans Reg"/>
          <w:szCs w:val="22"/>
        </w:rPr>
      </w:pPr>
    </w:p>
    <w:p w14:paraId="6A426E50" w14:textId="77777777" w:rsidR="004516D2" w:rsidRPr="00D6355E" w:rsidRDefault="004516D2" w:rsidP="00DE6285">
      <w:pPr>
        <w:jc w:val="both"/>
        <w:rPr>
          <w:rFonts w:ascii="TyponineSans Reg" w:hAnsi="TyponineSans Reg"/>
          <w:szCs w:val="22"/>
        </w:rPr>
      </w:pPr>
    </w:p>
    <w:p w14:paraId="72390064" w14:textId="7B50B90B" w:rsidR="00756FF4" w:rsidRPr="00756DDF" w:rsidRDefault="00756FF4" w:rsidP="00756FF4">
      <w:pPr>
        <w:pStyle w:val="BodyText2"/>
        <w:rPr>
          <w:rFonts w:ascii="TyponineSans Reg" w:hAnsi="TyponineSans Reg"/>
          <w:b/>
          <w:i w:val="0"/>
          <w:sz w:val="24"/>
        </w:rPr>
      </w:pPr>
      <w:r w:rsidRPr="00A74F13">
        <w:rPr>
          <w:rFonts w:ascii="TyponineSans Reg" w:hAnsi="TyponineSans Reg"/>
          <w:b/>
          <w:i w:val="0"/>
          <w:sz w:val="24"/>
          <w:bdr w:val="single" w:sz="4" w:space="0" w:color="auto"/>
        </w:rPr>
        <w:t xml:space="preserve">Bilješka br. </w:t>
      </w:r>
      <w:r>
        <w:rPr>
          <w:rFonts w:ascii="TyponineSans Reg" w:hAnsi="TyponineSans Reg"/>
          <w:b/>
          <w:i w:val="0"/>
          <w:sz w:val="24"/>
          <w:bdr w:val="single" w:sz="4" w:space="0" w:color="auto"/>
        </w:rPr>
        <w:t>2</w:t>
      </w:r>
      <w:r w:rsidRPr="00A74F13">
        <w:rPr>
          <w:rFonts w:ascii="TyponineSans Reg" w:hAnsi="TyponineSans Reg"/>
          <w:b/>
          <w:i w:val="0"/>
          <w:sz w:val="24"/>
          <w:bdr w:val="single" w:sz="4" w:space="0" w:color="auto"/>
        </w:rPr>
        <w:t>. – Rezultat poslovanja Ustanove</w:t>
      </w:r>
    </w:p>
    <w:p w14:paraId="0FD0E7DA" w14:textId="77777777" w:rsidR="00756FF4" w:rsidRPr="00756DDF" w:rsidRDefault="00756FF4" w:rsidP="00756FF4">
      <w:pPr>
        <w:pStyle w:val="BodyText2"/>
        <w:rPr>
          <w:rFonts w:ascii="TyponineSans Reg" w:hAnsi="TyponineSans Reg"/>
          <w:b/>
          <w:i w:val="0"/>
          <w:sz w:val="24"/>
        </w:rPr>
      </w:pPr>
    </w:p>
    <w:p w14:paraId="5C5B62D8" w14:textId="77777777" w:rsidR="00756FF4" w:rsidRDefault="00756FF4" w:rsidP="00756FF4">
      <w:pPr>
        <w:pStyle w:val="BodyText2"/>
        <w:rPr>
          <w:rFonts w:ascii="TyponineSans Reg" w:hAnsi="TyponineSans Reg"/>
          <w:b/>
          <w:i w:val="0"/>
          <w:sz w:val="24"/>
        </w:rPr>
      </w:pPr>
    </w:p>
    <w:p w14:paraId="3117CBE8" w14:textId="77777777" w:rsidR="004516D2" w:rsidRPr="00756DDF" w:rsidRDefault="004516D2" w:rsidP="00756FF4">
      <w:pPr>
        <w:pStyle w:val="BodyText2"/>
        <w:rPr>
          <w:rFonts w:ascii="TyponineSans Reg" w:hAnsi="TyponineSans Reg"/>
          <w:b/>
          <w:i w:val="0"/>
          <w:sz w:val="24"/>
        </w:rPr>
      </w:pPr>
    </w:p>
    <w:p w14:paraId="38EBF1B4" w14:textId="77777777" w:rsidR="00756FF4" w:rsidRPr="00756DDF" w:rsidRDefault="00756FF4" w:rsidP="00756FF4">
      <w:pPr>
        <w:pStyle w:val="BodyText2"/>
        <w:rPr>
          <w:rFonts w:ascii="TyponineSans Reg" w:hAnsi="TyponineSans Reg"/>
          <w:b/>
          <w:i w:val="0"/>
          <w:sz w:val="24"/>
        </w:rPr>
      </w:pPr>
      <w:r w:rsidRPr="00756DDF">
        <w:rPr>
          <w:rFonts w:ascii="TyponineSans Reg" w:hAnsi="TyponineSans Reg"/>
          <w:b/>
          <w:i w:val="0"/>
          <w:sz w:val="24"/>
        </w:rPr>
        <w:t xml:space="preserve">Šifra X001 – Višak prihoda poslovanja  </w:t>
      </w:r>
    </w:p>
    <w:p w14:paraId="4EA45C2F" w14:textId="77777777" w:rsidR="00756FF4" w:rsidRPr="00756DDF" w:rsidRDefault="00756FF4" w:rsidP="00756FF4">
      <w:pPr>
        <w:jc w:val="both"/>
        <w:rPr>
          <w:rFonts w:ascii="TyponineSans Reg" w:hAnsi="TyponineSans Reg"/>
          <w:b/>
          <w:sz w:val="24"/>
        </w:rPr>
      </w:pPr>
      <w:r w:rsidRPr="00756DDF">
        <w:rPr>
          <w:rFonts w:ascii="TyponineSans Reg" w:hAnsi="TyponineSans Reg"/>
          <w:b/>
          <w:sz w:val="24"/>
        </w:rPr>
        <w:t xml:space="preserve">Šifra 92211 -Višak / manjak  prihoda poslovanja – preneseni </w:t>
      </w:r>
    </w:p>
    <w:p w14:paraId="12715018" w14:textId="77777777" w:rsidR="00756FF4" w:rsidRPr="00756DDF" w:rsidRDefault="00756FF4" w:rsidP="00756FF4">
      <w:pPr>
        <w:jc w:val="both"/>
        <w:rPr>
          <w:rFonts w:ascii="TyponineSans Reg" w:hAnsi="TyponineSans Reg"/>
          <w:b/>
          <w:sz w:val="24"/>
        </w:rPr>
      </w:pPr>
    </w:p>
    <w:p w14:paraId="201A541B" w14:textId="77777777" w:rsidR="00756FF4" w:rsidRPr="008146A1" w:rsidRDefault="00756FF4" w:rsidP="00756FF4">
      <w:pPr>
        <w:pStyle w:val="BodyText2"/>
        <w:rPr>
          <w:rFonts w:ascii="TyponineSans Reg" w:hAnsi="TyponineSans Reg"/>
          <w:i w:val="0"/>
          <w:szCs w:val="22"/>
        </w:rPr>
      </w:pPr>
      <w:r w:rsidRPr="008146A1">
        <w:rPr>
          <w:rFonts w:ascii="TyponineSans Reg" w:hAnsi="TyponineSans Reg"/>
          <w:i w:val="0"/>
          <w:szCs w:val="22"/>
        </w:rPr>
        <w:t xml:space="preserve">U okviru konta 92211  iskazan je iznos od 4.801.949,70 Eur, a odnosi se na preneseni višak prihoda poslovanja </w:t>
      </w:r>
      <w:r>
        <w:rPr>
          <w:rFonts w:ascii="TyponineSans Reg" w:hAnsi="TyponineSans Reg"/>
          <w:i w:val="0"/>
          <w:szCs w:val="22"/>
        </w:rPr>
        <w:t xml:space="preserve">iz 2023. godine </w:t>
      </w:r>
      <w:r w:rsidRPr="008146A1">
        <w:rPr>
          <w:rFonts w:ascii="TyponineSans Reg" w:hAnsi="TyponineSans Reg"/>
          <w:i w:val="0"/>
          <w:szCs w:val="22"/>
        </w:rPr>
        <w:t xml:space="preserve">koji je evidentiran u obrascu Bilance u koloni prethodne godine u iznosu od 4.792.652,52, te je uvećan za iznose koji su tijekom godine knjiženi </w:t>
      </w:r>
      <w:r>
        <w:rPr>
          <w:rFonts w:ascii="TyponineSans Reg" w:hAnsi="TyponineSans Reg"/>
          <w:i w:val="0"/>
          <w:szCs w:val="22"/>
        </w:rPr>
        <w:t>na kontu 92211, a odnose se</w:t>
      </w:r>
      <w:r w:rsidRPr="008146A1">
        <w:rPr>
          <w:rFonts w:ascii="TyponineSans Reg" w:hAnsi="TyponineSans Reg"/>
          <w:i w:val="0"/>
          <w:szCs w:val="22"/>
        </w:rPr>
        <w:t xml:space="preserve"> na:</w:t>
      </w:r>
    </w:p>
    <w:p w14:paraId="2D1949CE" w14:textId="77777777" w:rsidR="00756FF4" w:rsidRPr="0027699E" w:rsidRDefault="00756FF4" w:rsidP="00756FF4">
      <w:pPr>
        <w:jc w:val="both"/>
        <w:rPr>
          <w:rFonts w:ascii="TyponineSans Reg" w:hAnsi="TyponineSans Reg"/>
          <w:szCs w:val="22"/>
        </w:rPr>
      </w:pPr>
    </w:p>
    <w:p w14:paraId="3E312DF1" w14:textId="77777777" w:rsidR="00756FF4" w:rsidRPr="002873F0" w:rsidRDefault="00756FF4" w:rsidP="00756FF4">
      <w:pPr>
        <w:pStyle w:val="ListParagraph"/>
        <w:numPr>
          <w:ilvl w:val="0"/>
          <w:numId w:val="18"/>
        </w:numPr>
        <w:jc w:val="both"/>
        <w:rPr>
          <w:rFonts w:ascii="TyponineSans Reg" w:hAnsi="TyponineSans Reg"/>
          <w:szCs w:val="22"/>
        </w:rPr>
      </w:pPr>
      <w:r w:rsidRPr="002873F0">
        <w:rPr>
          <w:rFonts w:ascii="TyponineSans Reg" w:hAnsi="TyponineSans Reg"/>
          <w:szCs w:val="22"/>
        </w:rPr>
        <w:t>Otpisane obveze prema dobavljačima i otpisane obveze za primljene predujmove kupaca koji su prestali sa poslovanjem i brisani iz evidencija u registru Trgovačkog suda knjižene u korist Ustanove temeljem godišnjeg elaborata o popisu imovine u ukupnom iznosu od 12.740,34 Eur-a</w:t>
      </w:r>
    </w:p>
    <w:p w14:paraId="7FBC42AD" w14:textId="77777777" w:rsidR="00756FF4" w:rsidRPr="002873F0" w:rsidRDefault="00756FF4" w:rsidP="00756FF4">
      <w:pPr>
        <w:pStyle w:val="ListParagraph"/>
        <w:numPr>
          <w:ilvl w:val="0"/>
          <w:numId w:val="18"/>
        </w:numPr>
        <w:jc w:val="both"/>
        <w:rPr>
          <w:rFonts w:ascii="TyponineSans Reg" w:hAnsi="TyponineSans Reg"/>
          <w:szCs w:val="22"/>
        </w:rPr>
      </w:pPr>
      <w:r w:rsidRPr="002873F0">
        <w:rPr>
          <w:rFonts w:ascii="TyponineSans Reg" w:hAnsi="TyponineSans Reg"/>
          <w:szCs w:val="22"/>
        </w:rPr>
        <w:t xml:space="preserve">Ispravke iz prethodnih razdoblja koji su generirani prilikom uvođenja novog knjigovodstvenog programa i knjiženi su na teret Ustanove u iznosu od 3.443,16 Eur  </w:t>
      </w:r>
    </w:p>
    <w:p w14:paraId="7456D5AA" w14:textId="77777777" w:rsidR="00756FF4" w:rsidRPr="00B27B0C" w:rsidRDefault="00756FF4" w:rsidP="00756FF4">
      <w:pPr>
        <w:pStyle w:val="ListParagraph"/>
        <w:ind w:left="720"/>
        <w:jc w:val="both"/>
        <w:rPr>
          <w:rFonts w:ascii="TyponineSans Reg" w:hAnsi="TyponineSans Reg"/>
          <w:color w:val="0070C0"/>
          <w:szCs w:val="22"/>
        </w:rPr>
      </w:pPr>
    </w:p>
    <w:p w14:paraId="424FCD79" w14:textId="77777777" w:rsidR="00756FF4" w:rsidRPr="00756DDF" w:rsidRDefault="00756FF4" w:rsidP="00756FF4">
      <w:pPr>
        <w:jc w:val="both"/>
        <w:rPr>
          <w:rFonts w:ascii="TyponineSans Reg" w:hAnsi="TyponineSans Reg"/>
          <w:szCs w:val="22"/>
        </w:rPr>
      </w:pPr>
      <w:r w:rsidRPr="00756DDF">
        <w:rPr>
          <w:rFonts w:ascii="TyponineSans Reg" w:hAnsi="TyponineSans Reg"/>
          <w:szCs w:val="22"/>
        </w:rPr>
        <w:t xml:space="preserve">U tijeku tekuće godine ostvaren je manjak prihoda poslovanja </w:t>
      </w:r>
      <w:r>
        <w:rPr>
          <w:rFonts w:ascii="TyponineSans Reg" w:hAnsi="TyponineSans Reg"/>
          <w:szCs w:val="22"/>
        </w:rPr>
        <w:t xml:space="preserve">iskazan na šifri obrasca Y001 </w:t>
      </w:r>
      <w:r w:rsidRPr="00756DDF">
        <w:rPr>
          <w:rFonts w:ascii="TyponineSans Reg" w:hAnsi="TyponineSans Reg"/>
          <w:szCs w:val="22"/>
        </w:rPr>
        <w:t xml:space="preserve"> u iznosu od 1.196.981,32 Eur  na što je najvećim dijelom utjecalo povećanje troškova rashoda za zaposlene koji su porasli za 37,9% u odnosu na isto razdoblje prethodne godine.</w:t>
      </w:r>
    </w:p>
    <w:p w14:paraId="0A8A7865" w14:textId="77777777" w:rsidR="00756FF4" w:rsidRPr="00756DDF" w:rsidRDefault="00756FF4" w:rsidP="00756FF4">
      <w:pPr>
        <w:jc w:val="both"/>
        <w:rPr>
          <w:rFonts w:ascii="TyponineSans Reg" w:hAnsi="TyponineSans Reg"/>
          <w:szCs w:val="22"/>
        </w:rPr>
      </w:pPr>
    </w:p>
    <w:p w14:paraId="7D398192" w14:textId="77777777" w:rsidR="00756FF4" w:rsidRPr="00756DDF" w:rsidRDefault="00756FF4" w:rsidP="00756FF4">
      <w:pPr>
        <w:jc w:val="both"/>
        <w:rPr>
          <w:rFonts w:ascii="TyponineSans Reg" w:hAnsi="TyponineSans Reg"/>
          <w:szCs w:val="22"/>
        </w:rPr>
      </w:pPr>
    </w:p>
    <w:p w14:paraId="222CB7CD" w14:textId="77777777" w:rsidR="00756FF4" w:rsidRPr="00FB4C39" w:rsidRDefault="00756FF4" w:rsidP="00756FF4">
      <w:pPr>
        <w:jc w:val="both"/>
        <w:rPr>
          <w:rFonts w:ascii="TyponineSans Reg" w:hAnsi="TyponineSans Reg"/>
          <w:color w:val="0070C0"/>
          <w:szCs w:val="22"/>
        </w:rPr>
      </w:pPr>
    </w:p>
    <w:p w14:paraId="2893ED65" w14:textId="77777777" w:rsidR="00756FF4" w:rsidRPr="00FB4C39" w:rsidRDefault="00756FF4" w:rsidP="00756FF4">
      <w:pPr>
        <w:jc w:val="both"/>
        <w:rPr>
          <w:rFonts w:ascii="TyponineSans Reg" w:hAnsi="TyponineSans Reg"/>
          <w:b/>
          <w:color w:val="0070C0"/>
          <w:sz w:val="24"/>
          <w:szCs w:val="24"/>
        </w:rPr>
      </w:pPr>
    </w:p>
    <w:p w14:paraId="4E06FED4" w14:textId="77777777" w:rsidR="00756FF4" w:rsidRPr="00C27074" w:rsidRDefault="00756FF4" w:rsidP="00756FF4">
      <w:pPr>
        <w:pStyle w:val="BodyText2"/>
        <w:rPr>
          <w:rFonts w:ascii="TyponineSans Reg" w:hAnsi="TyponineSans Reg"/>
          <w:b/>
          <w:i w:val="0"/>
          <w:sz w:val="24"/>
        </w:rPr>
      </w:pPr>
      <w:r w:rsidRPr="00C27074">
        <w:rPr>
          <w:rFonts w:ascii="TyponineSans Reg" w:hAnsi="TyponineSans Reg"/>
          <w:b/>
          <w:i w:val="0"/>
          <w:sz w:val="24"/>
        </w:rPr>
        <w:t xml:space="preserve">Šifra 9222 -Manjak prihoda od nefinancijske imovine – preneseni </w:t>
      </w:r>
    </w:p>
    <w:p w14:paraId="7D6ADB43" w14:textId="77777777" w:rsidR="00756FF4" w:rsidRPr="00C27074" w:rsidRDefault="00756FF4" w:rsidP="00756FF4">
      <w:pPr>
        <w:pStyle w:val="BodyText2"/>
        <w:rPr>
          <w:rFonts w:ascii="TyponineSans Reg" w:hAnsi="TyponineSans Reg"/>
          <w:b/>
          <w:i w:val="0"/>
          <w:sz w:val="24"/>
        </w:rPr>
      </w:pPr>
      <w:r w:rsidRPr="00C27074">
        <w:rPr>
          <w:rFonts w:ascii="TyponineSans Reg" w:hAnsi="TyponineSans Reg"/>
          <w:b/>
          <w:i w:val="0"/>
          <w:sz w:val="24"/>
        </w:rPr>
        <w:t xml:space="preserve">Šifra Y006 – Višak prihoda i primitaka raspoloživ u sljedećem razdoblju (kolona prethodne </w:t>
      </w:r>
    </w:p>
    <w:p w14:paraId="076A87CA" w14:textId="77777777" w:rsidR="00756FF4" w:rsidRPr="00C27074" w:rsidRDefault="00756FF4" w:rsidP="00756FF4">
      <w:pPr>
        <w:pStyle w:val="BodyText2"/>
        <w:rPr>
          <w:rFonts w:ascii="TyponineSans Reg" w:hAnsi="TyponineSans Reg"/>
          <w:b/>
          <w:i w:val="0"/>
          <w:sz w:val="24"/>
        </w:rPr>
      </w:pPr>
      <w:r w:rsidRPr="00C27074">
        <w:rPr>
          <w:rFonts w:ascii="TyponineSans Reg" w:hAnsi="TyponineSans Reg"/>
          <w:b/>
          <w:i w:val="0"/>
          <w:sz w:val="24"/>
        </w:rPr>
        <w:t xml:space="preserve">                       godine)</w:t>
      </w:r>
    </w:p>
    <w:p w14:paraId="1CE7F9F8" w14:textId="77777777" w:rsidR="00756FF4" w:rsidRPr="00C27074" w:rsidRDefault="00756FF4" w:rsidP="00756FF4">
      <w:pPr>
        <w:pStyle w:val="BodyText2"/>
        <w:rPr>
          <w:rFonts w:ascii="TyponineSans Reg" w:hAnsi="TyponineSans Reg"/>
          <w:b/>
          <w:i w:val="0"/>
          <w:sz w:val="24"/>
        </w:rPr>
      </w:pPr>
    </w:p>
    <w:p w14:paraId="0A6D71AB" w14:textId="40DF73A3" w:rsidR="00756FF4" w:rsidRPr="00C27074" w:rsidRDefault="00756FF4" w:rsidP="00756FF4">
      <w:pPr>
        <w:pStyle w:val="BodyText2"/>
        <w:rPr>
          <w:rFonts w:ascii="TyponineSans Reg" w:hAnsi="TyponineSans Reg"/>
          <w:i w:val="0"/>
          <w:szCs w:val="22"/>
        </w:rPr>
      </w:pPr>
      <w:r w:rsidRPr="00C27074">
        <w:rPr>
          <w:rFonts w:ascii="TyponineSans Reg" w:hAnsi="TyponineSans Reg"/>
          <w:i w:val="0"/>
          <w:szCs w:val="22"/>
        </w:rPr>
        <w:t xml:space="preserve">U okviru konta 92222  iskazan je iznos od 9.836.186,25 Eur, a koji se odnosi na preneseni manjak od nefinancijske imovine iz </w:t>
      </w:r>
      <w:r>
        <w:rPr>
          <w:rFonts w:ascii="TyponineSans Reg" w:hAnsi="TyponineSans Reg"/>
          <w:i w:val="0"/>
          <w:szCs w:val="22"/>
        </w:rPr>
        <w:t xml:space="preserve">2023. godine </w:t>
      </w:r>
      <w:r w:rsidRPr="00C27074">
        <w:rPr>
          <w:rFonts w:ascii="TyponineSans Reg" w:hAnsi="TyponineSans Reg"/>
          <w:i w:val="0"/>
          <w:szCs w:val="22"/>
        </w:rPr>
        <w:t xml:space="preserve">evidentiran u obrascu Bilance </w:t>
      </w:r>
      <w:r>
        <w:rPr>
          <w:rFonts w:ascii="TyponineSans Reg" w:hAnsi="TyponineSans Reg"/>
          <w:i w:val="0"/>
          <w:szCs w:val="22"/>
        </w:rPr>
        <w:t xml:space="preserve">u koloni prethodne godine u iznosu od 9.543.459,29 Eur </w:t>
      </w:r>
      <w:r w:rsidRPr="00C27074">
        <w:rPr>
          <w:rFonts w:ascii="TyponineSans Reg" w:hAnsi="TyponineSans Reg"/>
          <w:i w:val="0"/>
          <w:szCs w:val="22"/>
        </w:rPr>
        <w:t xml:space="preserve">te je tijekom </w:t>
      </w:r>
      <w:r>
        <w:rPr>
          <w:rFonts w:ascii="TyponineSans Reg" w:hAnsi="TyponineSans Reg"/>
          <w:i w:val="0"/>
          <w:szCs w:val="22"/>
        </w:rPr>
        <w:t xml:space="preserve">tekuće </w:t>
      </w:r>
      <w:r w:rsidRPr="00C27074">
        <w:rPr>
          <w:rFonts w:ascii="TyponineSans Reg" w:hAnsi="TyponineSans Reg"/>
          <w:i w:val="0"/>
          <w:szCs w:val="22"/>
        </w:rPr>
        <w:t>godine uvećan za:</w:t>
      </w:r>
    </w:p>
    <w:p w14:paraId="23AE670B" w14:textId="77777777" w:rsidR="00756FF4" w:rsidRPr="00C27074" w:rsidRDefault="00756FF4" w:rsidP="00756FF4">
      <w:pPr>
        <w:pStyle w:val="BodyText2"/>
        <w:rPr>
          <w:rFonts w:ascii="TyponineSans Reg" w:hAnsi="TyponineSans Reg"/>
          <w:i w:val="0"/>
          <w:szCs w:val="22"/>
        </w:rPr>
      </w:pPr>
    </w:p>
    <w:p w14:paraId="74B3D421" w14:textId="03C2979D" w:rsidR="00756FF4" w:rsidRPr="00C27074" w:rsidRDefault="00756FF4" w:rsidP="00756FF4">
      <w:pPr>
        <w:pStyle w:val="BodyText2"/>
        <w:numPr>
          <w:ilvl w:val="0"/>
          <w:numId w:val="43"/>
        </w:numPr>
        <w:rPr>
          <w:rFonts w:ascii="TyponineSans Reg" w:hAnsi="TyponineSans Reg"/>
          <w:i w:val="0"/>
          <w:szCs w:val="22"/>
        </w:rPr>
      </w:pPr>
      <w:bookmarkStart w:id="2" w:name="_Hlk157418529"/>
      <w:r>
        <w:rPr>
          <w:rFonts w:ascii="TyponineSans Reg" w:hAnsi="TyponineSans Reg"/>
          <w:i w:val="0"/>
          <w:szCs w:val="22"/>
        </w:rPr>
        <w:t xml:space="preserve">iznos </w:t>
      </w:r>
      <w:r w:rsidR="00D00988">
        <w:rPr>
          <w:rFonts w:ascii="TyponineSans Reg" w:hAnsi="TyponineSans Reg"/>
          <w:i w:val="0"/>
          <w:szCs w:val="22"/>
        </w:rPr>
        <w:t xml:space="preserve">obračunate </w:t>
      </w:r>
      <w:r w:rsidRPr="00C27074">
        <w:rPr>
          <w:rFonts w:ascii="TyponineSans Reg" w:hAnsi="TyponineSans Reg"/>
          <w:i w:val="0"/>
          <w:szCs w:val="22"/>
        </w:rPr>
        <w:t>amortizacij</w:t>
      </w:r>
      <w:r>
        <w:rPr>
          <w:rFonts w:ascii="TyponineSans Reg" w:hAnsi="TyponineSans Reg"/>
          <w:i w:val="0"/>
          <w:szCs w:val="22"/>
        </w:rPr>
        <w:t>e</w:t>
      </w:r>
      <w:r w:rsidRPr="00C27074">
        <w:rPr>
          <w:rFonts w:ascii="TyponineSans Reg" w:hAnsi="TyponineSans Reg"/>
          <w:i w:val="0"/>
          <w:szCs w:val="22"/>
        </w:rPr>
        <w:t xml:space="preserve"> </w:t>
      </w:r>
      <w:r w:rsidR="00EC76BD">
        <w:rPr>
          <w:rFonts w:ascii="TyponineSans Reg" w:hAnsi="TyponineSans Reg"/>
          <w:i w:val="0"/>
          <w:szCs w:val="22"/>
        </w:rPr>
        <w:t>u</w:t>
      </w:r>
      <w:r w:rsidRPr="00C27074">
        <w:rPr>
          <w:rFonts w:ascii="TyponineSans Reg" w:hAnsi="TyponineSans Reg"/>
          <w:i w:val="0"/>
          <w:szCs w:val="22"/>
        </w:rPr>
        <w:t xml:space="preserve"> 2024. godin</w:t>
      </w:r>
      <w:r w:rsidR="00EC76BD">
        <w:rPr>
          <w:rFonts w:ascii="TyponineSans Reg" w:hAnsi="TyponineSans Reg"/>
          <w:i w:val="0"/>
          <w:szCs w:val="22"/>
        </w:rPr>
        <w:t>i za</w:t>
      </w:r>
      <w:r w:rsidRPr="00C27074">
        <w:rPr>
          <w:rFonts w:ascii="TyponineSans Reg" w:hAnsi="TyponineSans Reg"/>
          <w:i w:val="0"/>
          <w:szCs w:val="22"/>
        </w:rPr>
        <w:t xml:space="preserve"> </w:t>
      </w:r>
      <w:r w:rsidR="00EC76BD" w:rsidRPr="00C27074">
        <w:rPr>
          <w:rFonts w:ascii="TyponineSans Reg" w:hAnsi="TyponineSans Reg"/>
          <w:i w:val="0"/>
          <w:szCs w:val="22"/>
        </w:rPr>
        <w:t>proizveden</w:t>
      </w:r>
      <w:r w:rsidR="00EC76BD">
        <w:rPr>
          <w:rFonts w:ascii="TyponineSans Reg" w:hAnsi="TyponineSans Reg"/>
          <w:i w:val="0"/>
          <w:szCs w:val="22"/>
        </w:rPr>
        <w:t>u</w:t>
      </w:r>
      <w:r w:rsidR="00EC76BD" w:rsidRPr="00C27074">
        <w:rPr>
          <w:rFonts w:ascii="TyponineSans Reg" w:hAnsi="TyponineSans Reg"/>
          <w:i w:val="0"/>
          <w:szCs w:val="22"/>
        </w:rPr>
        <w:t xml:space="preserve"> dugotrajn</w:t>
      </w:r>
      <w:r w:rsidR="00EC76BD">
        <w:rPr>
          <w:rFonts w:ascii="TyponineSans Reg" w:hAnsi="TyponineSans Reg"/>
          <w:i w:val="0"/>
          <w:szCs w:val="22"/>
        </w:rPr>
        <w:t>u</w:t>
      </w:r>
      <w:r w:rsidR="00EC76BD" w:rsidRPr="00C27074">
        <w:rPr>
          <w:rFonts w:ascii="TyponineSans Reg" w:hAnsi="TyponineSans Reg"/>
          <w:i w:val="0"/>
          <w:szCs w:val="22"/>
        </w:rPr>
        <w:t xml:space="preserve"> imovinu Ustanove </w:t>
      </w:r>
      <w:r w:rsidRPr="00C27074">
        <w:rPr>
          <w:rFonts w:ascii="TyponineSans Reg" w:hAnsi="TyponineSans Reg"/>
          <w:i w:val="0"/>
          <w:szCs w:val="22"/>
        </w:rPr>
        <w:t xml:space="preserve">u iznosu od 292.726,96 Eur </w:t>
      </w:r>
      <w:r w:rsidR="00EC76BD">
        <w:rPr>
          <w:rFonts w:ascii="TyponineSans Reg" w:hAnsi="TyponineSans Reg"/>
          <w:i w:val="0"/>
          <w:szCs w:val="22"/>
        </w:rPr>
        <w:t xml:space="preserve">i </w:t>
      </w:r>
      <w:r>
        <w:rPr>
          <w:rFonts w:ascii="TyponineSans Reg" w:hAnsi="TyponineSans Reg"/>
          <w:i w:val="0"/>
          <w:szCs w:val="22"/>
        </w:rPr>
        <w:t>knjižen</w:t>
      </w:r>
      <w:r w:rsidR="00EC76BD">
        <w:rPr>
          <w:rFonts w:ascii="TyponineSans Reg" w:hAnsi="TyponineSans Reg"/>
          <w:i w:val="0"/>
          <w:szCs w:val="22"/>
        </w:rPr>
        <w:t>u</w:t>
      </w:r>
      <w:r>
        <w:rPr>
          <w:rFonts w:ascii="TyponineSans Reg" w:hAnsi="TyponineSans Reg"/>
          <w:i w:val="0"/>
          <w:szCs w:val="22"/>
        </w:rPr>
        <w:t xml:space="preserve"> direktno na konto 92222 o čemu je detaljnije pisano </w:t>
      </w:r>
      <w:r w:rsidRPr="00C27074">
        <w:rPr>
          <w:rFonts w:ascii="TyponineSans Reg" w:hAnsi="TyponineSans Reg"/>
          <w:i w:val="0"/>
          <w:szCs w:val="22"/>
        </w:rPr>
        <w:t xml:space="preserve"> u</w:t>
      </w:r>
      <w:r>
        <w:rPr>
          <w:rFonts w:ascii="TyponineSans Reg" w:hAnsi="TyponineSans Reg"/>
          <w:i w:val="0"/>
          <w:szCs w:val="22"/>
        </w:rPr>
        <w:t xml:space="preserve"> nastavku bilješki</w:t>
      </w:r>
    </w:p>
    <w:bookmarkEnd w:id="2"/>
    <w:p w14:paraId="31DDEC9A" w14:textId="77777777" w:rsidR="00756FF4" w:rsidRPr="00C27074" w:rsidRDefault="00756FF4" w:rsidP="00756FF4">
      <w:pPr>
        <w:pStyle w:val="BodyText2"/>
        <w:rPr>
          <w:rFonts w:ascii="TyponineSans Reg" w:hAnsi="TyponineSans Reg"/>
          <w:i w:val="0"/>
          <w:szCs w:val="22"/>
        </w:rPr>
      </w:pPr>
    </w:p>
    <w:p w14:paraId="5C39F436" w14:textId="77777777" w:rsidR="00756FF4" w:rsidRPr="00C27074" w:rsidRDefault="00756FF4" w:rsidP="00756FF4">
      <w:pPr>
        <w:pStyle w:val="BodyText2"/>
        <w:rPr>
          <w:rFonts w:ascii="TyponineSans Reg" w:hAnsi="TyponineSans Reg"/>
          <w:i w:val="0"/>
          <w:szCs w:val="22"/>
        </w:rPr>
      </w:pPr>
    </w:p>
    <w:p w14:paraId="365AA27F" w14:textId="77777777" w:rsidR="00756FF4" w:rsidRPr="00C27074" w:rsidRDefault="00756FF4" w:rsidP="00756FF4">
      <w:pPr>
        <w:pStyle w:val="BodyText2"/>
        <w:rPr>
          <w:rFonts w:ascii="TyponineSans Reg" w:hAnsi="TyponineSans Reg"/>
          <w:i w:val="0"/>
          <w:szCs w:val="22"/>
        </w:rPr>
      </w:pPr>
      <w:r w:rsidRPr="00C27074">
        <w:rPr>
          <w:rFonts w:ascii="TyponineSans Reg" w:hAnsi="TyponineSans Reg"/>
          <w:i w:val="0"/>
          <w:szCs w:val="22"/>
        </w:rPr>
        <w:t xml:space="preserve">Navedeni iznos obračunate amortizacije odnosi se samo na amortizaciju one dugotrajne imovine Ustanove čija nabavna vrijednost prilikom nabavke nije teretila rashode poslovanja. </w:t>
      </w:r>
    </w:p>
    <w:p w14:paraId="4E18A4AC" w14:textId="77777777" w:rsidR="00756FF4" w:rsidRPr="00FB4C39" w:rsidRDefault="00756FF4" w:rsidP="00756FF4">
      <w:pPr>
        <w:pStyle w:val="BodyText2"/>
        <w:rPr>
          <w:rFonts w:ascii="TyponineSans Reg" w:hAnsi="TyponineSans Reg"/>
          <w:i w:val="0"/>
          <w:color w:val="0070C0"/>
          <w:szCs w:val="22"/>
        </w:rPr>
      </w:pPr>
    </w:p>
    <w:p w14:paraId="22723FB7" w14:textId="77777777" w:rsidR="00756FF4" w:rsidRPr="003A0E2C" w:rsidRDefault="00756FF4" w:rsidP="00756FF4">
      <w:pPr>
        <w:jc w:val="both"/>
        <w:rPr>
          <w:rFonts w:ascii="TyponineSans Reg" w:hAnsi="TyponineSans Reg"/>
          <w:szCs w:val="22"/>
        </w:rPr>
      </w:pPr>
      <w:r w:rsidRPr="003A0E2C">
        <w:rPr>
          <w:rFonts w:ascii="TyponineSans Reg" w:hAnsi="TyponineSans Reg"/>
          <w:szCs w:val="22"/>
        </w:rPr>
        <w:t>Naime, budući da je Ustanova, kako je to već ranije i istaknuto, do 31.12.2012. godine vodila knjigovodstvo sukladno Uredbi o računovodstvu neprofitnih organizacija nabavna vrijednost dugotrajne materijalne imovine nije teretila rashode Ustanove u trenutku nabavke već kroz obračun  amortizacije koji je vršen tijekom korisnog vijeka trajanja imovine.</w:t>
      </w:r>
    </w:p>
    <w:p w14:paraId="1403122B" w14:textId="77777777" w:rsidR="00756FF4" w:rsidRPr="003A0E2C" w:rsidRDefault="00756FF4" w:rsidP="00756FF4">
      <w:pPr>
        <w:jc w:val="both"/>
        <w:rPr>
          <w:rFonts w:ascii="TyponineSans Reg" w:hAnsi="TyponineSans Reg"/>
          <w:szCs w:val="22"/>
        </w:rPr>
      </w:pPr>
    </w:p>
    <w:p w14:paraId="54DCC86C" w14:textId="77777777" w:rsidR="00756FF4" w:rsidRPr="003A0E2C" w:rsidRDefault="00756FF4" w:rsidP="00756FF4">
      <w:pPr>
        <w:jc w:val="both"/>
        <w:rPr>
          <w:rFonts w:ascii="TyponineSans Reg" w:hAnsi="TyponineSans Reg"/>
          <w:szCs w:val="22"/>
        </w:rPr>
      </w:pPr>
      <w:r w:rsidRPr="003A0E2C">
        <w:rPr>
          <w:rFonts w:ascii="TyponineSans Reg" w:hAnsi="TyponineSans Reg"/>
          <w:szCs w:val="22"/>
        </w:rPr>
        <w:t xml:space="preserve">Međutim, prelaskom na proračunsko računovodstvo pojavio se problem knjiženja neotpisanog dijela dugotrajne materijalne imovine budući da sukladno Pravilniku o proračunskom računovodstvu amortizacija ne tereti rashode Ustanove već umanjuje izvore financiranja. </w:t>
      </w:r>
    </w:p>
    <w:p w14:paraId="3501B80B" w14:textId="77777777" w:rsidR="00756FF4" w:rsidRPr="003A0E2C" w:rsidRDefault="00756FF4" w:rsidP="00756FF4">
      <w:pPr>
        <w:jc w:val="both"/>
        <w:rPr>
          <w:rFonts w:ascii="TyponineSans Reg" w:hAnsi="TyponineSans Reg"/>
          <w:szCs w:val="22"/>
        </w:rPr>
      </w:pPr>
    </w:p>
    <w:p w14:paraId="1DFE4B8D" w14:textId="77777777" w:rsidR="00756FF4" w:rsidRPr="003A0E2C" w:rsidRDefault="00756FF4" w:rsidP="00756FF4">
      <w:pPr>
        <w:jc w:val="both"/>
        <w:rPr>
          <w:rFonts w:ascii="TyponineSans Reg" w:hAnsi="TyponineSans Reg"/>
          <w:szCs w:val="22"/>
        </w:rPr>
      </w:pPr>
      <w:r w:rsidRPr="003A0E2C">
        <w:rPr>
          <w:rFonts w:ascii="TyponineSans Reg" w:hAnsi="TyponineSans Reg"/>
          <w:szCs w:val="22"/>
        </w:rPr>
        <w:t xml:space="preserve">Kako bismo obračun amortizacije mogli knjižiti sukladno Pravilniku o proračunskom računovodstvu, za iznos preostale neotpisane vrijednosti one dugotrajne imovine za čiju nabavu nisu terečeni rashodi Ustanove na </w:t>
      </w:r>
      <w:r w:rsidRPr="003A0E2C">
        <w:rPr>
          <w:rFonts w:ascii="TyponineSans Reg" w:hAnsi="TyponineSans Reg"/>
          <w:szCs w:val="22"/>
        </w:rPr>
        <w:lastRenderedPageBreak/>
        <w:t>dan 01.01.2013. povećani su izvori financiranja uz istovremeno odobrenje konta 1911 – Rashodi budućih razdoblja u iznosu od 121.990.099 kn</w:t>
      </w:r>
      <w:r>
        <w:rPr>
          <w:rFonts w:ascii="TyponineSans Reg" w:hAnsi="TyponineSans Reg"/>
          <w:szCs w:val="22"/>
        </w:rPr>
        <w:t xml:space="preserve"> odnosno 16.190.868,54 Eur</w:t>
      </w:r>
    </w:p>
    <w:p w14:paraId="3FA513A0" w14:textId="77777777" w:rsidR="00756FF4" w:rsidRPr="003A0E2C" w:rsidRDefault="00756FF4" w:rsidP="00756FF4">
      <w:pPr>
        <w:jc w:val="both"/>
        <w:rPr>
          <w:rFonts w:ascii="TyponineSans Reg" w:hAnsi="TyponineSans Reg"/>
          <w:szCs w:val="22"/>
        </w:rPr>
      </w:pPr>
    </w:p>
    <w:p w14:paraId="3AEEABD4" w14:textId="77777777" w:rsidR="00756FF4" w:rsidRPr="003A0E2C" w:rsidRDefault="00756FF4" w:rsidP="00756FF4">
      <w:pPr>
        <w:jc w:val="both"/>
        <w:rPr>
          <w:rFonts w:ascii="TyponineSans Reg" w:hAnsi="TyponineSans Reg"/>
          <w:szCs w:val="22"/>
        </w:rPr>
      </w:pPr>
      <w:r w:rsidRPr="003A0E2C">
        <w:rPr>
          <w:rFonts w:ascii="TyponineSans Reg" w:hAnsi="TyponineSans Reg"/>
          <w:szCs w:val="22"/>
        </w:rPr>
        <w:t>Nakon provedenog godišnjeg obračuna amortizacije za iznos amortizacije se umanjuje iskazani saldo na kontu 1911 uz istovremeno povećanje dugovne strane konta 92222 – Manjak prihoda od nefinancijske imovine čime se za iznos godišnjeg obračuna amortizacije direktno tereti poslovni rezultat Ustanove.</w:t>
      </w:r>
    </w:p>
    <w:p w14:paraId="7142C186" w14:textId="77777777" w:rsidR="00756FF4" w:rsidRPr="003A0E2C" w:rsidRDefault="00756FF4" w:rsidP="00756FF4">
      <w:pPr>
        <w:jc w:val="both"/>
        <w:rPr>
          <w:rFonts w:ascii="TyponineSans Reg" w:hAnsi="TyponineSans Reg"/>
          <w:szCs w:val="22"/>
        </w:rPr>
      </w:pPr>
    </w:p>
    <w:p w14:paraId="290725E5" w14:textId="77777777" w:rsidR="00756FF4" w:rsidRPr="003A0E2C" w:rsidRDefault="00756FF4" w:rsidP="00756FF4">
      <w:pPr>
        <w:jc w:val="both"/>
        <w:rPr>
          <w:rFonts w:ascii="TyponineSans Reg" w:hAnsi="TyponineSans Reg"/>
          <w:szCs w:val="22"/>
        </w:rPr>
      </w:pPr>
      <w:r w:rsidRPr="003A0E2C">
        <w:rPr>
          <w:rFonts w:ascii="TyponineSans Reg" w:hAnsi="TyponineSans Reg"/>
          <w:szCs w:val="22"/>
        </w:rPr>
        <w:t xml:space="preserve">Naime, da je Ustanova nastavila knjiženje sukladno Uredbi o računovodstvu neprofitnih organizacija iznos od 121.990.099 kn </w:t>
      </w:r>
      <w:r>
        <w:rPr>
          <w:rFonts w:ascii="TyponineSans Reg" w:hAnsi="TyponineSans Reg"/>
          <w:szCs w:val="22"/>
        </w:rPr>
        <w:t xml:space="preserve">odnosno 16.190.868,54 Eur </w:t>
      </w:r>
      <w:r w:rsidRPr="003A0E2C">
        <w:rPr>
          <w:rFonts w:ascii="TyponineSans Reg" w:hAnsi="TyponineSans Reg"/>
          <w:szCs w:val="22"/>
        </w:rPr>
        <w:t>teretio bi poslovni rezultat tijekom korisnog vijeka imovine i stoga je donesena Odluka da se poslovni rezultat Ustanove i dalje umanjuje za godišnji iznos amortizacije jer bi u protivnom poslovni rezultat Ustanove bio krivo iskazan budući da nabavka ove imovine nikada ne bi teretila poslovni rezultat Ustanove.</w:t>
      </w:r>
    </w:p>
    <w:p w14:paraId="1245918B" w14:textId="77777777" w:rsidR="00756FF4" w:rsidRPr="003A0E2C" w:rsidRDefault="00756FF4" w:rsidP="00756FF4">
      <w:pPr>
        <w:jc w:val="both"/>
        <w:rPr>
          <w:rFonts w:ascii="TyponineSans Reg" w:hAnsi="TyponineSans Reg"/>
          <w:szCs w:val="22"/>
        </w:rPr>
      </w:pPr>
    </w:p>
    <w:p w14:paraId="11ED42B0" w14:textId="77777777" w:rsidR="00756FF4" w:rsidRPr="003A0E2C" w:rsidRDefault="00756FF4" w:rsidP="00756FF4">
      <w:pPr>
        <w:jc w:val="both"/>
        <w:rPr>
          <w:rFonts w:ascii="TyponineSans Reg" w:hAnsi="TyponineSans Reg"/>
          <w:szCs w:val="22"/>
        </w:rPr>
      </w:pPr>
      <w:r w:rsidRPr="003A0E2C">
        <w:rPr>
          <w:rFonts w:ascii="TyponineSans Reg" w:hAnsi="TyponineSans Reg"/>
          <w:szCs w:val="22"/>
        </w:rPr>
        <w:t>Kako računski plan proračuna, sukladno Pravilniku proračunskog računovodstva, nema predviđen konto za knjiženje obračunate amortizacije navedeni iznos proknjižen je direktno na konto 92222 – Manjak prihoda od nefinancijske imovine i kao takav iskazan u obrascu PR-RAS  na šifri obrasca 92222.</w:t>
      </w:r>
    </w:p>
    <w:p w14:paraId="56240E76" w14:textId="77777777" w:rsidR="00756FF4" w:rsidRPr="003A0E2C" w:rsidRDefault="00756FF4" w:rsidP="00756FF4">
      <w:pPr>
        <w:jc w:val="both"/>
        <w:rPr>
          <w:rFonts w:ascii="TyponineSans Reg" w:hAnsi="TyponineSans Reg"/>
          <w:szCs w:val="22"/>
        </w:rPr>
      </w:pPr>
    </w:p>
    <w:p w14:paraId="404BAB5F" w14:textId="77777777" w:rsidR="00756FF4" w:rsidRPr="003A0E2C" w:rsidRDefault="00756FF4" w:rsidP="00756FF4">
      <w:pPr>
        <w:jc w:val="both"/>
        <w:rPr>
          <w:rFonts w:ascii="TyponineSans Reg" w:hAnsi="TyponineSans Reg"/>
          <w:szCs w:val="22"/>
        </w:rPr>
      </w:pPr>
      <w:r w:rsidRPr="003A0E2C">
        <w:rPr>
          <w:rFonts w:ascii="TyponineSans Reg" w:hAnsi="TyponineSans Reg"/>
          <w:szCs w:val="22"/>
        </w:rPr>
        <w:t>Međutim, treba istaknuti da se poslovni rezultat ne tereti za cjelokupni iznos obračunate amotizacije nego samo za iznos amortizacije onih sredstava čija nabavna vrijednost nije teretila rashode Ustanove tijekom nabavke.</w:t>
      </w:r>
    </w:p>
    <w:p w14:paraId="31FA2192" w14:textId="77777777" w:rsidR="00756FF4" w:rsidRPr="003A0E2C" w:rsidRDefault="00756FF4" w:rsidP="00756FF4">
      <w:pPr>
        <w:jc w:val="both"/>
        <w:rPr>
          <w:rFonts w:ascii="TyponineSans Reg" w:hAnsi="TyponineSans Reg"/>
          <w:szCs w:val="22"/>
        </w:rPr>
      </w:pPr>
    </w:p>
    <w:p w14:paraId="63E6B182" w14:textId="77777777" w:rsidR="00756FF4" w:rsidRPr="003A0E2C" w:rsidRDefault="00756FF4" w:rsidP="00756FF4">
      <w:pPr>
        <w:jc w:val="both"/>
        <w:rPr>
          <w:rFonts w:ascii="TyponineSans Reg" w:hAnsi="TyponineSans Reg"/>
          <w:szCs w:val="22"/>
        </w:rPr>
      </w:pPr>
      <w:r w:rsidRPr="003A0E2C">
        <w:rPr>
          <w:rFonts w:ascii="TyponineSans Reg" w:hAnsi="TyponineSans Reg"/>
          <w:szCs w:val="22"/>
        </w:rPr>
        <w:t>Naime, kako su dana 01.01.2008. godine stupile na snagu izmjene Uredbe o računovodstvu neprofitnih organizacija upravo vezano za promjenu načina knjiženja obračunate amortizacije Ustanova je i do 31.12.2012. ukupno obračunatu amortizaciju djelila u tri grupe ovisno o tome da li je nabavna vrijednost imovine teretila poslovni rezultat u trenutku nabavke</w:t>
      </w:r>
    </w:p>
    <w:p w14:paraId="2434AF68" w14:textId="77777777" w:rsidR="00756FF4" w:rsidRPr="003A0E2C" w:rsidRDefault="00756FF4" w:rsidP="00756FF4">
      <w:pPr>
        <w:numPr>
          <w:ilvl w:val="0"/>
          <w:numId w:val="21"/>
        </w:numPr>
        <w:jc w:val="both"/>
        <w:rPr>
          <w:rFonts w:ascii="TyponineSans Reg" w:hAnsi="TyponineSans Reg"/>
          <w:szCs w:val="22"/>
        </w:rPr>
      </w:pPr>
      <w:r w:rsidRPr="003A0E2C">
        <w:rPr>
          <w:rFonts w:ascii="TyponineSans Reg" w:hAnsi="TyponineSans Reg"/>
          <w:szCs w:val="22"/>
        </w:rPr>
        <w:t>1.   grupa –     amortizacija za sredstva nabavljenja do 31.12.1999. godine</w:t>
      </w:r>
    </w:p>
    <w:p w14:paraId="1439E0D5" w14:textId="77777777" w:rsidR="00756FF4" w:rsidRPr="003A0E2C" w:rsidRDefault="00756FF4" w:rsidP="00756FF4">
      <w:pPr>
        <w:numPr>
          <w:ilvl w:val="0"/>
          <w:numId w:val="21"/>
        </w:numPr>
        <w:jc w:val="both"/>
        <w:rPr>
          <w:rFonts w:ascii="TyponineSans Reg" w:hAnsi="TyponineSans Reg"/>
          <w:szCs w:val="22"/>
        </w:rPr>
      </w:pPr>
      <w:r w:rsidRPr="003A0E2C">
        <w:rPr>
          <w:rFonts w:ascii="TyponineSans Reg" w:hAnsi="TyponineSans Reg"/>
          <w:szCs w:val="22"/>
        </w:rPr>
        <w:t>2. grupa – amortizacija za sredstva nabavljena u periodu od 01.01.2000. – 31.12.2007. godine</w:t>
      </w:r>
    </w:p>
    <w:p w14:paraId="0B72F9C3" w14:textId="77777777" w:rsidR="00756FF4" w:rsidRPr="003A0E2C" w:rsidRDefault="00756FF4" w:rsidP="00756FF4">
      <w:pPr>
        <w:numPr>
          <w:ilvl w:val="0"/>
          <w:numId w:val="21"/>
        </w:numPr>
        <w:jc w:val="both"/>
        <w:rPr>
          <w:rFonts w:ascii="TyponineSans Reg" w:hAnsi="TyponineSans Reg"/>
          <w:szCs w:val="22"/>
        </w:rPr>
      </w:pPr>
      <w:r w:rsidRPr="003A0E2C">
        <w:rPr>
          <w:rFonts w:ascii="TyponineSans Reg" w:hAnsi="TyponineSans Reg"/>
          <w:szCs w:val="22"/>
        </w:rPr>
        <w:t>3. grupa – amortizacija za sredstva nabavljena u periodu od 01.01.2008. – 31.12.2012. godine</w:t>
      </w:r>
    </w:p>
    <w:p w14:paraId="54E47206" w14:textId="77777777" w:rsidR="00756FF4" w:rsidRPr="003A0E2C" w:rsidRDefault="00756FF4" w:rsidP="00756FF4">
      <w:pPr>
        <w:jc w:val="both"/>
        <w:rPr>
          <w:rFonts w:ascii="TyponineSans Reg" w:hAnsi="TyponineSans Reg"/>
          <w:szCs w:val="22"/>
        </w:rPr>
      </w:pPr>
    </w:p>
    <w:p w14:paraId="5AF73542" w14:textId="77777777" w:rsidR="00756FF4" w:rsidRPr="003A0E2C" w:rsidRDefault="00756FF4" w:rsidP="00756FF4">
      <w:pPr>
        <w:jc w:val="both"/>
        <w:rPr>
          <w:rFonts w:ascii="TyponineSans Reg" w:hAnsi="TyponineSans Reg"/>
          <w:szCs w:val="22"/>
        </w:rPr>
      </w:pPr>
      <w:r w:rsidRPr="003A0E2C">
        <w:rPr>
          <w:rFonts w:ascii="TyponineSans Reg" w:hAnsi="TyponineSans Reg"/>
          <w:szCs w:val="22"/>
        </w:rPr>
        <w:t>U skladu sa navedenim, prethodnih je godina amortizacija za 1. i 3. grupu knjižena na teret rashoda Ustanove budući da u trenutku nabavke te imovine nije terećen poslovni rezultat dok je 2. grupa amortizacije knjižena samo na teret izvora budući da je u periodu od 01.01.2000. do 31.12.2007. godine odnosno do donošenja izmjena Uredbe dana 01.01.2008. godine za nabavku imovine terećen poslovni rezultat u cjelosti te je amortizacija knjižena samo na teret Izvora.</w:t>
      </w:r>
    </w:p>
    <w:p w14:paraId="58C30017" w14:textId="77777777" w:rsidR="00756FF4" w:rsidRDefault="00756FF4" w:rsidP="00756FF4">
      <w:pPr>
        <w:jc w:val="both"/>
        <w:rPr>
          <w:rFonts w:ascii="TyponineSans Reg" w:hAnsi="TyponineSans Reg"/>
          <w:color w:val="0070C0"/>
          <w:szCs w:val="22"/>
        </w:rPr>
      </w:pPr>
    </w:p>
    <w:p w14:paraId="4BE74766" w14:textId="77777777" w:rsidR="00756FF4" w:rsidRDefault="00756FF4" w:rsidP="00756FF4">
      <w:pPr>
        <w:jc w:val="both"/>
        <w:rPr>
          <w:rFonts w:ascii="TyponineSans Reg" w:hAnsi="TyponineSans Reg"/>
          <w:color w:val="0070C0"/>
          <w:szCs w:val="22"/>
        </w:rPr>
      </w:pPr>
      <w:r w:rsidRPr="003A0E2C">
        <w:lastRenderedPageBreak/>
        <w:drawing>
          <wp:anchor distT="0" distB="0" distL="114300" distR="114300" simplePos="0" relativeHeight="251671552" behindDoc="0" locked="0" layoutInCell="1" allowOverlap="1" wp14:anchorId="01A9F114" wp14:editId="0309B4BC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353050" cy="3876675"/>
            <wp:effectExtent l="0" t="0" r="0" b="9525"/>
            <wp:wrapSquare wrapText="bothSides"/>
            <wp:docPr id="18656338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AAF41E" w14:textId="77777777" w:rsidR="00756FF4" w:rsidRPr="00FB4C39" w:rsidRDefault="00756FF4" w:rsidP="00756FF4">
      <w:pPr>
        <w:jc w:val="both"/>
        <w:rPr>
          <w:rFonts w:ascii="TyponineSans Reg" w:hAnsi="TyponineSans Reg"/>
          <w:color w:val="0070C0"/>
          <w:szCs w:val="22"/>
        </w:rPr>
      </w:pPr>
    </w:p>
    <w:p w14:paraId="6B942755" w14:textId="77777777" w:rsidR="002873F0" w:rsidRDefault="002873F0" w:rsidP="00756FF4">
      <w:pPr>
        <w:jc w:val="both"/>
        <w:rPr>
          <w:rFonts w:ascii="TyponineSans Reg" w:hAnsi="TyponineSans Reg"/>
          <w:szCs w:val="22"/>
        </w:rPr>
      </w:pPr>
    </w:p>
    <w:p w14:paraId="35E8C723" w14:textId="77777777" w:rsidR="002873F0" w:rsidRDefault="002873F0" w:rsidP="00756FF4">
      <w:pPr>
        <w:jc w:val="both"/>
        <w:rPr>
          <w:rFonts w:ascii="TyponineSans Reg" w:hAnsi="TyponineSans Reg"/>
          <w:szCs w:val="22"/>
        </w:rPr>
      </w:pPr>
    </w:p>
    <w:p w14:paraId="1C7975CB" w14:textId="77777777" w:rsidR="004516D2" w:rsidRDefault="004516D2" w:rsidP="00756FF4">
      <w:pPr>
        <w:jc w:val="both"/>
        <w:rPr>
          <w:rFonts w:ascii="TyponineSans Reg" w:hAnsi="TyponineSans Reg"/>
          <w:szCs w:val="22"/>
        </w:rPr>
      </w:pPr>
    </w:p>
    <w:p w14:paraId="32EC32CF" w14:textId="77777777" w:rsidR="004516D2" w:rsidRDefault="004516D2" w:rsidP="00756FF4">
      <w:pPr>
        <w:jc w:val="both"/>
        <w:rPr>
          <w:rFonts w:ascii="TyponineSans Reg" w:hAnsi="TyponineSans Reg"/>
          <w:szCs w:val="22"/>
        </w:rPr>
      </w:pPr>
    </w:p>
    <w:p w14:paraId="27AF13B8" w14:textId="77777777" w:rsidR="004516D2" w:rsidRDefault="004516D2" w:rsidP="00756FF4">
      <w:pPr>
        <w:jc w:val="both"/>
        <w:rPr>
          <w:rFonts w:ascii="TyponineSans Reg" w:hAnsi="TyponineSans Reg"/>
          <w:szCs w:val="22"/>
        </w:rPr>
      </w:pPr>
    </w:p>
    <w:p w14:paraId="0E6F7CDB" w14:textId="77777777" w:rsidR="004516D2" w:rsidRDefault="004516D2" w:rsidP="00756FF4">
      <w:pPr>
        <w:jc w:val="both"/>
        <w:rPr>
          <w:rFonts w:ascii="TyponineSans Reg" w:hAnsi="TyponineSans Reg"/>
          <w:szCs w:val="22"/>
        </w:rPr>
      </w:pPr>
    </w:p>
    <w:p w14:paraId="633EFC64" w14:textId="77777777" w:rsidR="004516D2" w:rsidRDefault="004516D2" w:rsidP="00756FF4">
      <w:pPr>
        <w:jc w:val="both"/>
        <w:rPr>
          <w:rFonts w:ascii="TyponineSans Reg" w:hAnsi="TyponineSans Reg"/>
          <w:szCs w:val="22"/>
        </w:rPr>
      </w:pPr>
    </w:p>
    <w:p w14:paraId="0BC38020" w14:textId="77777777" w:rsidR="004516D2" w:rsidRDefault="004516D2" w:rsidP="00756FF4">
      <w:pPr>
        <w:jc w:val="both"/>
        <w:rPr>
          <w:rFonts w:ascii="TyponineSans Reg" w:hAnsi="TyponineSans Reg"/>
          <w:szCs w:val="22"/>
        </w:rPr>
      </w:pPr>
    </w:p>
    <w:p w14:paraId="1C4B0558" w14:textId="77777777" w:rsidR="004516D2" w:rsidRDefault="004516D2" w:rsidP="00756FF4">
      <w:pPr>
        <w:jc w:val="both"/>
        <w:rPr>
          <w:rFonts w:ascii="TyponineSans Reg" w:hAnsi="TyponineSans Reg"/>
          <w:szCs w:val="22"/>
        </w:rPr>
      </w:pPr>
    </w:p>
    <w:p w14:paraId="232224CF" w14:textId="77777777" w:rsidR="004516D2" w:rsidRDefault="004516D2" w:rsidP="00756FF4">
      <w:pPr>
        <w:jc w:val="both"/>
        <w:rPr>
          <w:rFonts w:ascii="TyponineSans Reg" w:hAnsi="TyponineSans Reg"/>
          <w:szCs w:val="22"/>
        </w:rPr>
      </w:pPr>
    </w:p>
    <w:p w14:paraId="1ED48DD9" w14:textId="77777777" w:rsidR="004516D2" w:rsidRDefault="004516D2" w:rsidP="00756FF4">
      <w:pPr>
        <w:jc w:val="both"/>
        <w:rPr>
          <w:rFonts w:ascii="TyponineSans Reg" w:hAnsi="TyponineSans Reg"/>
          <w:szCs w:val="22"/>
        </w:rPr>
      </w:pPr>
    </w:p>
    <w:p w14:paraId="077816DB" w14:textId="77777777" w:rsidR="004516D2" w:rsidRDefault="004516D2" w:rsidP="00756FF4">
      <w:pPr>
        <w:jc w:val="both"/>
        <w:rPr>
          <w:rFonts w:ascii="TyponineSans Reg" w:hAnsi="TyponineSans Reg"/>
          <w:szCs w:val="22"/>
        </w:rPr>
      </w:pPr>
    </w:p>
    <w:p w14:paraId="29C619FF" w14:textId="77777777" w:rsidR="004516D2" w:rsidRDefault="004516D2" w:rsidP="00756FF4">
      <w:pPr>
        <w:jc w:val="both"/>
        <w:rPr>
          <w:rFonts w:ascii="TyponineSans Reg" w:hAnsi="TyponineSans Reg"/>
          <w:szCs w:val="22"/>
        </w:rPr>
      </w:pPr>
    </w:p>
    <w:p w14:paraId="44DC8D10" w14:textId="77777777" w:rsidR="004516D2" w:rsidRDefault="004516D2" w:rsidP="00756FF4">
      <w:pPr>
        <w:jc w:val="both"/>
        <w:rPr>
          <w:rFonts w:ascii="TyponineSans Reg" w:hAnsi="TyponineSans Reg"/>
          <w:szCs w:val="22"/>
        </w:rPr>
      </w:pPr>
    </w:p>
    <w:p w14:paraId="499E43BD" w14:textId="77777777" w:rsidR="004516D2" w:rsidRDefault="004516D2" w:rsidP="00756FF4">
      <w:pPr>
        <w:jc w:val="both"/>
        <w:rPr>
          <w:rFonts w:ascii="TyponineSans Reg" w:hAnsi="TyponineSans Reg"/>
          <w:szCs w:val="22"/>
        </w:rPr>
      </w:pPr>
    </w:p>
    <w:p w14:paraId="37EC1073" w14:textId="77777777" w:rsidR="004516D2" w:rsidRDefault="004516D2" w:rsidP="00756FF4">
      <w:pPr>
        <w:jc w:val="both"/>
        <w:rPr>
          <w:rFonts w:ascii="TyponineSans Reg" w:hAnsi="TyponineSans Reg"/>
          <w:szCs w:val="22"/>
        </w:rPr>
      </w:pPr>
    </w:p>
    <w:p w14:paraId="08E917A6" w14:textId="77777777" w:rsidR="004516D2" w:rsidRDefault="004516D2" w:rsidP="00756FF4">
      <w:pPr>
        <w:jc w:val="both"/>
        <w:rPr>
          <w:rFonts w:ascii="TyponineSans Reg" w:hAnsi="TyponineSans Reg"/>
          <w:szCs w:val="22"/>
        </w:rPr>
      </w:pPr>
    </w:p>
    <w:p w14:paraId="48D249A4" w14:textId="77777777" w:rsidR="004516D2" w:rsidRDefault="004516D2" w:rsidP="00756FF4">
      <w:pPr>
        <w:jc w:val="both"/>
        <w:rPr>
          <w:rFonts w:ascii="TyponineSans Reg" w:hAnsi="TyponineSans Reg"/>
          <w:szCs w:val="22"/>
        </w:rPr>
      </w:pPr>
    </w:p>
    <w:p w14:paraId="685156A5" w14:textId="77777777" w:rsidR="004516D2" w:rsidRDefault="004516D2" w:rsidP="00756FF4">
      <w:pPr>
        <w:jc w:val="both"/>
        <w:rPr>
          <w:rFonts w:ascii="TyponineSans Reg" w:hAnsi="TyponineSans Reg"/>
          <w:szCs w:val="22"/>
        </w:rPr>
      </w:pPr>
    </w:p>
    <w:p w14:paraId="2FE5B34E" w14:textId="77777777" w:rsidR="004516D2" w:rsidRDefault="004516D2" w:rsidP="00756FF4">
      <w:pPr>
        <w:jc w:val="both"/>
        <w:rPr>
          <w:rFonts w:ascii="TyponineSans Reg" w:hAnsi="TyponineSans Reg"/>
          <w:szCs w:val="22"/>
        </w:rPr>
      </w:pPr>
    </w:p>
    <w:p w14:paraId="52035F29" w14:textId="77777777" w:rsidR="004516D2" w:rsidRDefault="004516D2" w:rsidP="00756FF4">
      <w:pPr>
        <w:jc w:val="both"/>
        <w:rPr>
          <w:rFonts w:ascii="TyponineSans Reg" w:hAnsi="TyponineSans Reg"/>
          <w:szCs w:val="22"/>
        </w:rPr>
      </w:pPr>
    </w:p>
    <w:p w14:paraId="078B83F4" w14:textId="77777777" w:rsidR="004516D2" w:rsidRDefault="004516D2" w:rsidP="00756FF4">
      <w:pPr>
        <w:jc w:val="both"/>
        <w:rPr>
          <w:rFonts w:ascii="TyponineSans Reg" w:hAnsi="TyponineSans Reg"/>
          <w:szCs w:val="22"/>
        </w:rPr>
      </w:pPr>
    </w:p>
    <w:p w14:paraId="7363D120" w14:textId="66668F12" w:rsidR="00756FF4" w:rsidRPr="003A0E2C" w:rsidRDefault="002873F0" w:rsidP="00756FF4">
      <w:pPr>
        <w:jc w:val="both"/>
        <w:rPr>
          <w:rFonts w:ascii="TyponineSans Reg" w:hAnsi="TyponineSans Reg"/>
          <w:szCs w:val="22"/>
        </w:rPr>
      </w:pPr>
      <w:r>
        <w:rPr>
          <w:rFonts w:ascii="TyponineSans Reg" w:hAnsi="TyponineSans Reg"/>
          <w:szCs w:val="22"/>
        </w:rPr>
        <w:t>P</w:t>
      </w:r>
      <w:r w:rsidR="00756FF4" w:rsidRPr="003A0E2C">
        <w:rPr>
          <w:rFonts w:ascii="TyponineSans Reg" w:hAnsi="TyponineSans Reg"/>
          <w:szCs w:val="22"/>
        </w:rPr>
        <w:t>rema prikazu u tablici obračunata amortizacija za sveukupnu dugotrajnu imovinu Ustanove u iznosu od 1.207.256,18 Eur knjižena je u skladu sa Pravilnikom o proračunskom računovodstvu odnosno kroz smanjenje izvora financiranja, koji su sa danom 01.01.2013. godine uvećani za neotpisanu vrijednost u iznosu 121.990.099 kn</w:t>
      </w:r>
      <w:r w:rsidR="00756FF4">
        <w:rPr>
          <w:rFonts w:ascii="TyponineSans Reg" w:hAnsi="TyponineSans Reg"/>
          <w:szCs w:val="22"/>
        </w:rPr>
        <w:t xml:space="preserve"> odnosno</w:t>
      </w:r>
      <w:r w:rsidR="00756FF4" w:rsidRPr="0096464F">
        <w:rPr>
          <w:rFonts w:ascii="TyponineSans Reg" w:hAnsi="TyponineSans Reg"/>
          <w:szCs w:val="22"/>
        </w:rPr>
        <w:t xml:space="preserve"> </w:t>
      </w:r>
      <w:r w:rsidR="00756FF4">
        <w:rPr>
          <w:rFonts w:ascii="TyponineSans Reg" w:hAnsi="TyponineSans Reg"/>
          <w:szCs w:val="22"/>
        </w:rPr>
        <w:t>16.190.868,54 Eur</w:t>
      </w:r>
      <w:r w:rsidR="00756FF4" w:rsidRPr="003A0E2C">
        <w:rPr>
          <w:rFonts w:ascii="TyponineSans Reg" w:hAnsi="TyponineSans Reg"/>
          <w:szCs w:val="22"/>
        </w:rPr>
        <w:t xml:space="preserve"> dok je samo iznos od 292.726,96 Eur knjižen istovremeno i na teret konta 92222 – Manjak prihoda od nefinancijske imovine.</w:t>
      </w:r>
    </w:p>
    <w:p w14:paraId="748C685D" w14:textId="77777777" w:rsidR="004516D2" w:rsidRPr="00FB4C39" w:rsidRDefault="004516D2" w:rsidP="00756FF4">
      <w:pPr>
        <w:jc w:val="both"/>
        <w:rPr>
          <w:rFonts w:ascii="TyponineSans Reg" w:hAnsi="TyponineSans Reg"/>
          <w:b/>
          <w:color w:val="0070C0"/>
          <w:sz w:val="24"/>
          <w:szCs w:val="24"/>
        </w:rPr>
      </w:pPr>
    </w:p>
    <w:p w14:paraId="6452D572" w14:textId="77777777" w:rsidR="00756FF4" w:rsidRPr="00FB4C39" w:rsidRDefault="00756FF4" w:rsidP="00756FF4">
      <w:pPr>
        <w:jc w:val="both"/>
        <w:rPr>
          <w:rFonts w:ascii="TyponineSans Reg" w:hAnsi="TyponineSans Reg"/>
          <w:b/>
          <w:color w:val="0070C0"/>
          <w:sz w:val="24"/>
          <w:szCs w:val="24"/>
        </w:rPr>
      </w:pPr>
    </w:p>
    <w:p w14:paraId="58D37591" w14:textId="77777777" w:rsidR="00756FF4" w:rsidRPr="003F06AC" w:rsidRDefault="00756FF4" w:rsidP="00756FF4">
      <w:pPr>
        <w:pStyle w:val="BodyText2"/>
        <w:rPr>
          <w:rFonts w:ascii="TyponineSans Reg" w:hAnsi="TyponineSans Reg"/>
          <w:b/>
          <w:i w:val="0"/>
          <w:sz w:val="24"/>
        </w:rPr>
      </w:pPr>
      <w:r w:rsidRPr="003F06AC">
        <w:rPr>
          <w:rFonts w:ascii="TyponineSans Reg" w:hAnsi="TyponineSans Reg"/>
          <w:b/>
          <w:i w:val="0"/>
          <w:sz w:val="24"/>
        </w:rPr>
        <w:t>Šifra 9222-9221 (kolona tekuće godine)</w:t>
      </w:r>
    </w:p>
    <w:p w14:paraId="43521EE2" w14:textId="77777777" w:rsidR="00756FF4" w:rsidRPr="003F06AC" w:rsidRDefault="00756FF4" w:rsidP="00756FF4">
      <w:pPr>
        <w:pStyle w:val="BodyText2"/>
        <w:rPr>
          <w:rFonts w:ascii="TyponineSans Reg" w:hAnsi="TyponineSans Reg"/>
          <w:b/>
          <w:i w:val="0"/>
          <w:sz w:val="24"/>
        </w:rPr>
      </w:pPr>
      <w:r w:rsidRPr="003F06AC">
        <w:rPr>
          <w:rFonts w:ascii="TyponineSans Reg" w:hAnsi="TyponineSans Reg"/>
          <w:b/>
          <w:i w:val="0"/>
          <w:sz w:val="24"/>
        </w:rPr>
        <w:t>Šifra Y006 ( kolona prethodne godine)</w:t>
      </w:r>
    </w:p>
    <w:p w14:paraId="40778A76" w14:textId="77777777" w:rsidR="00756FF4" w:rsidRPr="003F06AC" w:rsidRDefault="00756FF4" w:rsidP="00756FF4">
      <w:pPr>
        <w:pStyle w:val="BodyText2"/>
        <w:rPr>
          <w:rFonts w:ascii="TyponineSans Reg" w:hAnsi="TyponineSans Reg"/>
          <w:b/>
          <w:i w:val="0"/>
          <w:sz w:val="24"/>
        </w:rPr>
      </w:pPr>
      <w:r w:rsidRPr="003F06AC">
        <w:rPr>
          <w:rFonts w:ascii="TyponineSans Reg" w:hAnsi="TyponineSans Reg"/>
          <w:b/>
          <w:i w:val="0"/>
          <w:sz w:val="24"/>
        </w:rPr>
        <w:t xml:space="preserve">Manjak prihoda od nefinancijske imovine – preneseni </w:t>
      </w:r>
    </w:p>
    <w:p w14:paraId="450799D9" w14:textId="77777777" w:rsidR="00756FF4" w:rsidRPr="00FB4C39" w:rsidRDefault="00756FF4" w:rsidP="00756FF4">
      <w:pPr>
        <w:pStyle w:val="BodyText2"/>
        <w:rPr>
          <w:rFonts w:ascii="TyponineSans Reg" w:hAnsi="TyponineSans Reg"/>
          <w:b/>
          <w:i w:val="0"/>
          <w:color w:val="0070C0"/>
          <w:sz w:val="24"/>
        </w:rPr>
      </w:pPr>
    </w:p>
    <w:p w14:paraId="4FA5F086" w14:textId="62CC72F0" w:rsidR="00756FF4" w:rsidRPr="00A51977" w:rsidRDefault="00756FF4" w:rsidP="00756FF4">
      <w:pPr>
        <w:pStyle w:val="BodyText2"/>
        <w:rPr>
          <w:rFonts w:ascii="TyponineSans Reg" w:hAnsi="TyponineSans Reg"/>
          <w:bCs/>
          <w:i w:val="0"/>
          <w:szCs w:val="22"/>
        </w:rPr>
      </w:pPr>
      <w:r w:rsidRPr="00A51977">
        <w:rPr>
          <w:rFonts w:ascii="TyponineSans Reg" w:hAnsi="TyponineSans Reg"/>
          <w:bCs/>
          <w:i w:val="0"/>
          <w:szCs w:val="22"/>
        </w:rPr>
        <w:t>Preneseni manjak prihoda i primitaka iskazan na šifri 9222-9221 u koloni tekuće godine  u iznosu  od 5.034.236,55 Eur veći je za 283.429,78 Eur od ostvarenja 2023. godine  koje je iskazano na šifri Y006 u koloni prethodne godine u sveukupnom iznosu od  4.750.806,77 Eur. Iznos od 283.429,78 Eur odnosi se</w:t>
      </w:r>
      <w:r>
        <w:rPr>
          <w:rFonts w:ascii="TyponineSans Reg" w:hAnsi="TyponineSans Reg"/>
          <w:bCs/>
          <w:i w:val="0"/>
          <w:szCs w:val="22"/>
        </w:rPr>
        <w:t>, kao što je već p</w:t>
      </w:r>
      <w:r w:rsidR="00A76FEE">
        <w:rPr>
          <w:rFonts w:ascii="TyponineSans Reg" w:hAnsi="TyponineSans Reg"/>
          <w:bCs/>
          <w:i w:val="0"/>
          <w:szCs w:val="22"/>
        </w:rPr>
        <w:t>r</w:t>
      </w:r>
      <w:r>
        <w:rPr>
          <w:rFonts w:ascii="TyponineSans Reg" w:hAnsi="TyponineSans Reg"/>
          <w:bCs/>
          <w:i w:val="0"/>
          <w:szCs w:val="22"/>
        </w:rPr>
        <w:t xml:space="preserve">ethodno navedeno, </w:t>
      </w:r>
      <w:r w:rsidRPr="00A51977">
        <w:rPr>
          <w:rFonts w:ascii="TyponineSans Reg" w:hAnsi="TyponineSans Reg"/>
          <w:bCs/>
          <w:i w:val="0"/>
          <w:szCs w:val="22"/>
        </w:rPr>
        <w:t>na knjiženja provedena tijekom tekuće godine na skupini konta 922 u sljedećim iznosima:</w:t>
      </w:r>
    </w:p>
    <w:p w14:paraId="2C092497" w14:textId="77777777" w:rsidR="00756FF4" w:rsidRPr="00A51977" w:rsidRDefault="00756FF4" w:rsidP="00756FF4">
      <w:pPr>
        <w:pStyle w:val="BodyText2"/>
        <w:rPr>
          <w:rFonts w:ascii="TyponineSans Reg" w:hAnsi="TyponineSans Reg"/>
          <w:bCs/>
          <w:i w:val="0"/>
          <w:szCs w:val="22"/>
        </w:rPr>
      </w:pPr>
    </w:p>
    <w:p w14:paraId="75CD7B83" w14:textId="0A399587" w:rsidR="00756FF4" w:rsidRDefault="00756FF4" w:rsidP="00756FF4">
      <w:pPr>
        <w:pStyle w:val="BodyText2"/>
        <w:numPr>
          <w:ilvl w:val="0"/>
          <w:numId w:val="44"/>
        </w:numPr>
        <w:rPr>
          <w:rFonts w:ascii="TyponineSans Reg" w:hAnsi="TyponineSans Reg"/>
          <w:bCs/>
          <w:i w:val="0"/>
          <w:szCs w:val="22"/>
        </w:rPr>
      </w:pPr>
      <w:r w:rsidRPr="00A51977">
        <w:rPr>
          <w:rFonts w:ascii="TyponineSans Reg" w:hAnsi="TyponineSans Reg"/>
          <w:bCs/>
          <w:i w:val="0"/>
          <w:szCs w:val="22"/>
        </w:rPr>
        <w:t>obračunatu amortizaciju u 2024. godini u iznosu od 292.726,96 Eur za imovinu nabavljenu u razdoblju do 31.12.1999. godine i u razdoblju od 01.01.2008. do 31.12.2012. godine koja u trenutku nabavke nije teretila troškove poslovanja budući je u tom razdoblju Ustanova poslovne knjige vodila sukladno Uredbi o računovodstvu neprofitnih organizacija. Kako  Pravilnikom o proračunskom računovodstvu u računskom planu nije predviđen zaseban konto za evidentiranje troškova obračunate amortizacije navedeni iznos od 292.726,96 Eur je  kontiran direktno na teret  konta 92222 – Manjak prihoda od nefinancijske imovine i kao takav  uvećava iznos ostvarenog manjka prethodne</w:t>
      </w:r>
      <w:r w:rsidR="00A96E87">
        <w:rPr>
          <w:rFonts w:ascii="TyponineSans Reg" w:hAnsi="TyponineSans Reg"/>
          <w:bCs/>
          <w:i w:val="0"/>
          <w:szCs w:val="22"/>
        </w:rPr>
        <w:t xml:space="preserve"> godine</w:t>
      </w:r>
      <w:r>
        <w:rPr>
          <w:rFonts w:ascii="TyponineSans Reg" w:hAnsi="TyponineSans Reg"/>
          <w:bCs/>
          <w:i w:val="0"/>
          <w:szCs w:val="22"/>
        </w:rPr>
        <w:t xml:space="preserve">. </w:t>
      </w:r>
      <w:r w:rsidRPr="00A51977">
        <w:rPr>
          <w:rFonts w:ascii="TyponineSans Reg" w:hAnsi="TyponineSans Reg"/>
          <w:bCs/>
          <w:i w:val="0"/>
          <w:szCs w:val="22"/>
        </w:rPr>
        <w:t>Detaljnije o problematici obračuna amortizacije i preostale sadašnje vrijednosti rashodovane imovine pisano je u prethodnom dijelu teksta.</w:t>
      </w:r>
    </w:p>
    <w:p w14:paraId="67083571" w14:textId="77777777" w:rsidR="00756FF4" w:rsidRDefault="00756FF4" w:rsidP="00756FF4">
      <w:pPr>
        <w:pStyle w:val="BodyText2"/>
        <w:ind w:left="360"/>
        <w:rPr>
          <w:rFonts w:ascii="TyponineSans Reg" w:hAnsi="TyponineSans Reg"/>
          <w:bCs/>
          <w:i w:val="0"/>
          <w:szCs w:val="22"/>
        </w:rPr>
      </w:pPr>
    </w:p>
    <w:p w14:paraId="40F71CC6" w14:textId="6B009F1F" w:rsidR="00756FF4" w:rsidRPr="00A51977" w:rsidRDefault="00756FF4" w:rsidP="00756FF4">
      <w:pPr>
        <w:pStyle w:val="BodyText2"/>
        <w:numPr>
          <w:ilvl w:val="0"/>
          <w:numId w:val="44"/>
        </w:numPr>
        <w:rPr>
          <w:rFonts w:ascii="TyponineSans Reg" w:hAnsi="TyponineSans Reg"/>
          <w:bCs/>
          <w:i w:val="0"/>
          <w:szCs w:val="22"/>
        </w:rPr>
      </w:pPr>
      <w:r>
        <w:rPr>
          <w:rFonts w:ascii="TyponineSans Reg" w:hAnsi="TyponineSans Reg"/>
          <w:bCs/>
          <w:i w:val="0"/>
          <w:szCs w:val="22"/>
        </w:rPr>
        <w:t xml:space="preserve">Iznos od 9.297,18  koji se odnosi na </w:t>
      </w:r>
      <w:r w:rsidR="001B0084">
        <w:rPr>
          <w:rFonts w:ascii="TyponineSans Reg" w:hAnsi="TyponineSans Reg"/>
          <w:bCs/>
          <w:i w:val="0"/>
          <w:szCs w:val="22"/>
        </w:rPr>
        <w:t>pro</w:t>
      </w:r>
      <w:r>
        <w:rPr>
          <w:rFonts w:ascii="TyponineSans Reg" w:hAnsi="TyponineSans Reg"/>
          <w:bCs/>
          <w:i w:val="0"/>
          <w:szCs w:val="22"/>
        </w:rPr>
        <w:t xml:space="preserve">knjižene otpise obveza temeljem godišnjeg elaborata u iznosu od 12.740,34 u korist Ustanove te  </w:t>
      </w:r>
      <w:r w:rsidR="00D260CD">
        <w:rPr>
          <w:rFonts w:ascii="TyponineSans Reg" w:hAnsi="TyponineSans Reg"/>
          <w:bCs/>
          <w:i w:val="0"/>
          <w:szCs w:val="22"/>
        </w:rPr>
        <w:t>pro</w:t>
      </w:r>
      <w:r>
        <w:rPr>
          <w:rFonts w:ascii="TyponineSans Reg" w:hAnsi="TyponineSans Reg"/>
          <w:bCs/>
          <w:i w:val="0"/>
          <w:szCs w:val="22"/>
        </w:rPr>
        <w:t xml:space="preserve">knjižene ispravke iz prethodnih godina na teret Ustanove u iznosu od 3.443,16 Eur-a o čemu je detaljnije pisano u prethodnom </w:t>
      </w:r>
      <w:r w:rsidR="0046336E">
        <w:rPr>
          <w:rFonts w:ascii="TyponineSans Reg" w:hAnsi="TyponineSans Reg"/>
          <w:bCs/>
          <w:i w:val="0"/>
          <w:szCs w:val="22"/>
        </w:rPr>
        <w:t>tekstu</w:t>
      </w:r>
      <w:r>
        <w:rPr>
          <w:rFonts w:ascii="TyponineSans Reg" w:hAnsi="TyponineSans Reg"/>
          <w:bCs/>
          <w:i w:val="0"/>
          <w:szCs w:val="22"/>
        </w:rPr>
        <w:t xml:space="preserve">. </w:t>
      </w:r>
    </w:p>
    <w:p w14:paraId="6317A0E8" w14:textId="77777777" w:rsidR="00756FF4" w:rsidRDefault="00756FF4" w:rsidP="00756FF4">
      <w:pPr>
        <w:pStyle w:val="BodyText2"/>
        <w:rPr>
          <w:rFonts w:ascii="TyponineSans Reg" w:hAnsi="TyponineSans Reg"/>
          <w:bCs/>
          <w:i w:val="0"/>
          <w:szCs w:val="22"/>
        </w:rPr>
      </w:pPr>
    </w:p>
    <w:p w14:paraId="68A723B2" w14:textId="77777777" w:rsidR="00756FF4" w:rsidRPr="00A51977" w:rsidRDefault="00756FF4" w:rsidP="00756FF4">
      <w:pPr>
        <w:pStyle w:val="BodyText2"/>
        <w:rPr>
          <w:rFonts w:ascii="TyponineSans Reg" w:hAnsi="TyponineSans Reg"/>
          <w:bCs/>
          <w:i w:val="0"/>
          <w:szCs w:val="22"/>
        </w:rPr>
      </w:pPr>
    </w:p>
    <w:p w14:paraId="1C84E157" w14:textId="77777777" w:rsidR="00756FF4" w:rsidRPr="007F46E6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  <w:r w:rsidRPr="007F46E6">
        <w:rPr>
          <w:rFonts w:ascii="TyponineSans Reg" w:hAnsi="TyponineSans Reg"/>
          <w:b/>
          <w:sz w:val="24"/>
          <w:szCs w:val="24"/>
        </w:rPr>
        <w:t>Šifra 19</w:t>
      </w:r>
    </w:p>
    <w:p w14:paraId="30C58027" w14:textId="77777777" w:rsidR="00756FF4" w:rsidRPr="007F46E6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  <w:r w:rsidRPr="007F46E6">
        <w:rPr>
          <w:rFonts w:ascii="TyponineSans Reg" w:hAnsi="TyponineSans Reg"/>
          <w:b/>
          <w:sz w:val="24"/>
          <w:szCs w:val="24"/>
        </w:rPr>
        <w:t>Rashodi budućih razdoblja</w:t>
      </w:r>
    </w:p>
    <w:p w14:paraId="23D21ED4" w14:textId="77777777" w:rsidR="00756FF4" w:rsidRPr="007F46E6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</w:p>
    <w:p w14:paraId="4EF56981" w14:textId="77777777" w:rsidR="00756FF4" w:rsidRPr="007F46E6" w:rsidRDefault="00756FF4" w:rsidP="00756FF4">
      <w:pPr>
        <w:jc w:val="both"/>
        <w:rPr>
          <w:rFonts w:ascii="TyponineSans Reg" w:hAnsi="TyponineSans Reg"/>
          <w:szCs w:val="22"/>
        </w:rPr>
      </w:pPr>
      <w:r w:rsidRPr="007F46E6">
        <w:rPr>
          <w:rFonts w:ascii="TyponineSans Reg" w:hAnsi="TyponineSans Reg"/>
          <w:szCs w:val="22"/>
        </w:rPr>
        <w:t>U okviru skupine konta 19 iskazan je ukupan iznos od 7.666.001,76 Eur koji se odnosi na slijedeće stavke</w:t>
      </w:r>
    </w:p>
    <w:p w14:paraId="37DD666F" w14:textId="77777777" w:rsidR="00756FF4" w:rsidRPr="007F46E6" w:rsidRDefault="00756FF4" w:rsidP="00756FF4">
      <w:pPr>
        <w:pStyle w:val="ListParagraph"/>
        <w:numPr>
          <w:ilvl w:val="0"/>
          <w:numId w:val="46"/>
        </w:numPr>
        <w:jc w:val="both"/>
        <w:rPr>
          <w:rFonts w:ascii="TyponineSans Reg" w:hAnsi="TyponineSans Reg"/>
          <w:szCs w:val="22"/>
        </w:rPr>
      </w:pPr>
      <w:r w:rsidRPr="007F46E6">
        <w:rPr>
          <w:rFonts w:ascii="TyponineSans Reg" w:hAnsi="TyponineSans Reg"/>
          <w:szCs w:val="22"/>
        </w:rPr>
        <w:t xml:space="preserve">iznos od 7.662.907.21 Eur  predstavlja preostalu neotpisanu vrijednost dugotrajne materijalne imovine koja je nabavljenja prije prelaska na knjiženje prema Pravilniku o proračunskom računovodstvu te prilikom nabavke nije teretila poslovni rezultat o čemu je detaljnije pisano u prethodnom dijelu Bilješki. Nakon provedenog obračuna amortizacije za 2024. godinu u </w:t>
      </w:r>
      <w:r>
        <w:rPr>
          <w:rFonts w:ascii="TyponineSans Reg" w:hAnsi="TyponineSans Reg"/>
          <w:szCs w:val="22"/>
        </w:rPr>
        <w:t>iznosu</w:t>
      </w:r>
      <w:r w:rsidRPr="007F46E6">
        <w:rPr>
          <w:rFonts w:ascii="TyponineSans Reg" w:hAnsi="TyponineSans Reg"/>
          <w:szCs w:val="22"/>
        </w:rPr>
        <w:t xml:space="preserve"> od 292.726,96 Eur preostala sadašnja vrijednost rashodovane imovine na dan 31.12.2024. godine iznosi 7.662.907,12. </w:t>
      </w:r>
    </w:p>
    <w:p w14:paraId="43AF91BB" w14:textId="77777777" w:rsidR="00756FF4" w:rsidRPr="007F46E6" w:rsidRDefault="00756FF4" w:rsidP="00756FF4">
      <w:pPr>
        <w:pStyle w:val="ListParagraph"/>
        <w:ind w:left="720"/>
        <w:jc w:val="both"/>
        <w:rPr>
          <w:rFonts w:ascii="TyponineSans Reg" w:hAnsi="TyponineSans Reg"/>
          <w:szCs w:val="22"/>
        </w:rPr>
      </w:pPr>
      <w:r w:rsidRPr="007F46E6">
        <w:rPr>
          <w:rFonts w:ascii="TyponineSans Reg" w:hAnsi="TyponineSans Reg"/>
          <w:szCs w:val="22"/>
        </w:rPr>
        <w:t>U skladu sa navedenim, i u budućim poslovnim godinama, za iznos godišnjeg obračuna amortizacije umanjivati će se stanje na kontu 1911 – Rashodi budućih razdoblja uz istovremeno terećenje konta 92222 – Manjak prihoda od nefinancijske imovine.</w:t>
      </w:r>
    </w:p>
    <w:p w14:paraId="417691DE" w14:textId="77777777" w:rsidR="00756FF4" w:rsidRPr="007F46E6" w:rsidRDefault="00756FF4" w:rsidP="00756FF4">
      <w:pPr>
        <w:jc w:val="both"/>
        <w:rPr>
          <w:rFonts w:ascii="TyponineSans Reg" w:hAnsi="TyponineSans Reg"/>
          <w:szCs w:val="22"/>
        </w:rPr>
      </w:pPr>
    </w:p>
    <w:p w14:paraId="7CC6D0CE" w14:textId="11A2A27F" w:rsidR="00756FF4" w:rsidRPr="007F46E6" w:rsidRDefault="00756FF4" w:rsidP="00756FF4">
      <w:pPr>
        <w:pStyle w:val="ListParagraph"/>
        <w:numPr>
          <w:ilvl w:val="0"/>
          <w:numId w:val="45"/>
        </w:numPr>
        <w:jc w:val="both"/>
        <w:rPr>
          <w:rFonts w:ascii="TyponineSans Reg" w:hAnsi="TyponineSans Reg"/>
          <w:szCs w:val="22"/>
        </w:rPr>
      </w:pPr>
      <w:r w:rsidRPr="007F46E6">
        <w:rPr>
          <w:rFonts w:ascii="TyponineSans Reg" w:hAnsi="TyponineSans Reg"/>
          <w:szCs w:val="22"/>
        </w:rPr>
        <w:t xml:space="preserve">Preostali iznos od 3.094,55 Eur </w:t>
      </w:r>
      <w:r>
        <w:rPr>
          <w:rFonts w:ascii="TyponineSans Reg" w:hAnsi="TyponineSans Reg"/>
          <w:szCs w:val="22"/>
        </w:rPr>
        <w:t>o</w:t>
      </w:r>
      <w:r w:rsidRPr="007F46E6">
        <w:rPr>
          <w:rFonts w:ascii="TyponineSans Reg" w:hAnsi="TyponineSans Reg"/>
          <w:szCs w:val="22"/>
        </w:rPr>
        <w:t>dnosi se na saldo obračunskih konta za nenaplaćene kreditne kartice  fakturiranih usluga izletničkog turizma</w:t>
      </w:r>
    </w:p>
    <w:p w14:paraId="724562E6" w14:textId="77777777" w:rsidR="00756FF4" w:rsidRPr="00DD11EC" w:rsidRDefault="00756FF4" w:rsidP="00756FF4">
      <w:pPr>
        <w:jc w:val="both"/>
        <w:rPr>
          <w:rFonts w:ascii="TyponineSans Reg" w:hAnsi="TyponineSans Reg"/>
          <w:color w:val="FF0000"/>
          <w:szCs w:val="22"/>
        </w:rPr>
      </w:pPr>
    </w:p>
    <w:p w14:paraId="6AEFF954" w14:textId="77777777" w:rsidR="00756FF4" w:rsidRPr="00FB4C39" w:rsidRDefault="00756FF4" w:rsidP="00756FF4">
      <w:pPr>
        <w:jc w:val="both"/>
        <w:rPr>
          <w:rFonts w:ascii="TyponineSans Reg" w:hAnsi="TyponineSans Reg"/>
          <w:b/>
          <w:color w:val="0070C0"/>
          <w:sz w:val="26"/>
          <w:szCs w:val="26"/>
        </w:rPr>
      </w:pPr>
    </w:p>
    <w:p w14:paraId="133CFB63" w14:textId="77777777" w:rsidR="00756FF4" w:rsidRPr="007F46E6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  <w:r w:rsidRPr="007F46E6">
        <w:rPr>
          <w:rFonts w:ascii="TyponineSans Reg" w:hAnsi="TyponineSans Reg"/>
          <w:b/>
          <w:sz w:val="24"/>
          <w:szCs w:val="24"/>
        </w:rPr>
        <w:t>Šifra Z007- Z009</w:t>
      </w:r>
    </w:p>
    <w:p w14:paraId="2584BFC9" w14:textId="77777777" w:rsidR="00756FF4" w:rsidRPr="007F46E6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  <w:r w:rsidRPr="007F46E6">
        <w:rPr>
          <w:rFonts w:ascii="TyponineSans Reg" w:hAnsi="TyponineSans Reg"/>
          <w:b/>
          <w:sz w:val="24"/>
          <w:szCs w:val="24"/>
        </w:rPr>
        <w:t xml:space="preserve">Prosječan broj zaposlenika   </w:t>
      </w:r>
    </w:p>
    <w:p w14:paraId="70BE4C0C" w14:textId="77777777" w:rsidR="00756FF4" w:rsidRPr="007F46E6" w:rsidRDefault="00756FF4" w:rsidP="00756FF4">
      <w:pPr>
        <w:jc w:val="both"/>
        <w:rPr>
          <w:rFonts w:ascii="TyponineSans Reg" w:hAnsi="TyponineSans Reg"/>
          <w:bCs/>
          <w:sz w:val="24"/>
          <w:szCs w:val="24"/>
        </w:rPr>
      </w:pPr>
    </w:p>
    <w:p w14:paraId="4F7853E2" w14:textId="77777777" w:rsidR="00756FF4" w:rsidRPr="007F46E6" w:rsidRDefault="00756FF4" w:rsidP="00756FF4">
      <w:pPr>
        <w:jc w:val="both"/>
        <w:rPr>
          <w:rFonts w:ascii="TyponineSans Reg" w:hAnsi="TyponineSans Reg"/>
          <w:bCs/>
          <w:sz w:val="24"/>
          <w:szCs w:val="24"/>
        </w:rPr>
      </w:pPr>
      <w:r w:rsidRPr="007F46E6">
        <w:rPr>
          <w:rFonts w:ascii="TyponineSans Reg" w:hAnsi="TyponineSans Reg"/>
          <w:bCs/>
          <w:szCs w:val="22"/>
        </w:rPr>
        <w:t>Prosječan broj zaposlenih na osnovi stanja na početku i na kraju izvještajnog razdoblja na dan 31.12.2023. g. iznosio je  295 zaposlenika dok je za isto izvještajno razdoblje tekuće godine iznosio 307 zaposlenika . Do povećanja   prosječnog broja zaposlenih došlo je zbog konstantnog povećanja obima kao i zahtjevnosti pojedinih poslova posebno u području pružanja ugostiteljskih i izletničkih usluga. Shodno povećanju prosječnog broja zaposlenika povećan je i prosječan broj zaposlenih na osnovi sata rada koji je u 2023. godini iznosio 305 zaposlenika dok je u 2024. godini iznosio 317 zaposlenika što je za 3,9% više u odnosu na prethodnu godinu.</w:t>
      </w:r>
    </w:p>
    <w:p w14:paraId="5636D1C1" w14:textId="77777777" w:rsidR="00756FF4" w:rsidRPr="007F46E6" w:rsidRDefault="00756FF4" w:rsidP="00756FF4">
      <w:pPr>
        <w:jc w:val="both"/>
        <w:rPr>
          <w:rFonts w:ascii="TyponineSans Reg" w:hAnsi="TyponineSans Reg"/>
          <w:b/>
          <w:sz w:val="24"/>
          <w:bdr w:val="single" w:sz="4" w:space="0" w:color="auto"/>
        </w:rPr>
      </w:pPr>
    </w:p>
    <w:p w14:paraId="1019ABFD" w14:textId="77777777" w:rsidR="00756FF4" w:rsidRPr="00FB4C39" w:rsidRDefault="00756FF4" w:rsidP="00756FF4">
      <w:pPr>
        <w:jc w:val="both"/>
        <w:rPr>
          <w:rFonts w:ascii="TyponineSans Reg" w:hAnsi="TyponineSans Reg"/>
          <w:b/>
          <w:color w:val="0070C0"/>
          <w:sz w:val="24"/>
          <w:bdr w:val="single" w:sz="4" w:space="0" w:color="auto"/>
        </w:rPr>
      </w:pPr>
    </w:p>
    <w:p w14:paraId="43E7B857" w14:textId="0A6C0E75" w:rsidR="00756FF4" w:rsidRPr="007F46E6" w:rsidRDefault="00756FF4" w:rsidP="00756FF4">
      <w:pPr>
        <w:jc w:val="both"/>
        <w:rPr>
          <w:rFonts w:ascii="TyponineSans Reg" w:hAnsi="TyponineSans Reg"/>
          <w:b/>
          <w:sz w:val="24"/>
          <w:bdr w:val="single" w:sz="4" w:space="0" w:color="auto"/>
        </w:rPr>
      </w:pPr>
      <w:r w:rsidRPr="007F46E6">
        <w:rPr>
          <w:rFonts w:ascii="TyponineSans Reg" w:hAnsi="TyponineSans Reg"/>
          <w:b/>
          <w:sz w:val="24"/>
          <w:bdr w:val="single" w:sz="4" w:space="0" w:color="auto"/>
        </w:rPr>
        <w:t xml:space="preserve">Bilješka br. </w:t>
      </w:r>
      <w:r>
        <w:rPr>
          <w:rFonts w:ascii="TyponineSans Reg" w:hAnsi="TyponineSans Reg"/>
          <w:b/>
          <w:sz w:val="24"/>
          <w:bdr w:val="single" w:sz="4" w:space="0" w:color="auto"/>
        </w:rPr>
        <w:t>3</w:t>
      </w:r>
      <w:r w:rsidRPr="007F46E6">
        <w:rPr>
          <w:rFonts w:ascii="TyponineSans Reg" w:hAnsi="TyponineSans Reg"/>
          <w:b/>
          <w:sz w:val="24"/>
          <w:bdr w:val="single" w:sz="4" w:space="0" w:color="auto"/>
        </w:rPr>
        <w:t xml:space="preserve">.:  </w:t>
      </w:r>
      <w:r w:rsidRPr="007F46E6">
        <w:rPr>
          <w:rFonts w:ascii="TyponineSans Reg" w:hAnsi="TyponineSans Reg"/>
          <w:b/>
          <w:sz w:val="26"/>
          <w:szCs w:val="26"/>
          <w:bdr w:val="single" w:sz="4" w:space="0" w:color="auto"/>
        </w:rPr>
        <w:t>Bilješke</w:t>
      </w:r>
      <w:r w:rsidRPr="007F46E6">
        <w:rPr>
          <w:rFonts w:ascii="TyponineSans Reg" w:hAnsi="TyponineSans Reg"/>
          <w:b/>
          <w:sz w:val="24"/>
          <w:bdr w:val="single" w:sz="4" w:space="0" w:color="auto"/>
        </w:rPr>
        <w:t xml:space="preserve"> uz Bilancu Ustanove </w:t>
      </w:r>
    </w:p>
    <w:p w14:paraId="2B97BA9F" w14:textId="77777777" w:rsidR="00756FF4" w:rsidRPr="007F46E6" w:rsidRDefault="00756FF4" w:rsidP="00756FF4">
      <w:pPr>
        <w:jc w:val="both"/>
        <w:rPr>
          <w:rFonts w:ascii="TyponineSans Reg" w:hAnsi="TyponineSans Reg"/>
          <w:b/>
          <w:sz w:val="24"/>
          <w:bdr w:val="single" w:sz="4" w:space="0" w:color="auto"/>
        </w:rPr>
      </w:pPr>
    </w:p>
    <w:p w14:paraId="76DF3781" w14:textId="77777777" w:rsidR="00756FF4" w:rsidRPr="007F46E6" w:rsidRDefault="00756FF4" w:rsidP="00756FF4">
      <w:pPr>
        <w:jc w:val="both"/>
        <w:rPr>
          <w:rFonts w:ascii="TyponineSans Reg" w:hAnsi="TyponineSans Reg"/>
          <w:b/>
          <w:sz w:val="26"/>
          <w:szCs w:val="26"/>
        </w:rPr>
      </w:pPr>
    </w:p>
    <w:p w14:paraId="6C615695" w14:textId="5A956AEA" w:rsidR="00756FF4" w:rsidRPr="007F46E6" w:rsidRDefault="00756FF4" w:rsidP="00756FF4">
      <w:pPr>
        <w:jc w:val="both"/>
        <w:rPr>
          <w:rFonts w:ascii="TyponineSans Reg" w:hAnsi="TyponineSans Reg"/>
          <w:b/>
          <w:sz w:val="26"/>
          <w:szCs w:val="26"/>
        </w:rPr>
      </w:pPr>
      <w:r w:rsidRPr="007F46E6">
        <w:rPr>
          <w:rFonts w:ascii="TyponineSans Reg" w:hAnsi="TyponineSans Reg"/>
          <w:b/>
          <w:sz w:val="26"/>
          <w:szCs w:val="26"/>
        </w:rPr>
        <w:t xml:space="preserve">Bilješka br. </w:t>
      </w:r>
      <w:r>
        <w:rPr>
          <w:rFonts w:ascii="TyponineSans Reg" w:hAnsi="TyponineSans Reg"/>
          <w:b/>
          <w:sz w:val="26"/>
          <w:szCs w:val="26"/>
        </w:rPr>
        <w:t>3</w:t>
      </w:r>
      <w:r w:rsidRPr="007F46E6">
        <w:rPr>
          <w:rFonts w:ascii="TyponineSans Reg" w:hAnsi="TyponineSans Reg"/>
          <w:b/>
          <w:sz w:val="26"/>
          <w:szCs w:val="26"/>
        </w:rPr>
        <w:t>.1. – Imovina Ustanove</w:t>
      </w:r>
    </w:p>
    <w:p w14:paraId="6D4382BE" w14:textId="77777777" w:rsidR="00756FF4" w:rsidRPr="007F46E6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</w:p>
    <w:p w14:paraId="51FBB386" w14:textId="77777777" w:rsidR="00756FF4" w:rsidRPr="007F46E6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</w:p>
    <w:p w14:paraId="4023094D" w14:textId="77777777" w:rsidR="00756FF4" w:rsidRPr="007F46E6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  <w:r w:rsidRPr="007F46E6">
        <w:rPr>
          <w:rFonts w:ascii="TyponineSans Reg" w:hAnsi="TyponineSans Reg"/>
          <w:b/>
          <w:sz w:val="24"/>
          <w:szCs w:val="24"/>
        </w:rPr>
        <w:t>Šifra 02</w:t>
      </w:r>
    </w:p>
    <w:p w14:paraId="1B289ED9" w14:textId="77777777" w:rsidR="00756FF4" w:rsidRPr="007F46E6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  <w:r w:rsidRPr="007F46E6">
        <w:rPr>
          <w:rFonts w:ascii="TyponineSans Reg" w:hAnsi="TyponineSans Reg"/>
          <w:b/>
          <w:sz w:val="24"/>
          <w:szCs w:val="24"/>
        </w:rPr>
        <w:t>Proizvedena dugotrajna imovina</w:t>
      </w:r>
    </w:p>
    <w:p w14:paraId="0062B670" w14:textId="77777777" w:rsidR="00756FF4" w:rsidRPr="00FB4C39" w:rsidRDefault="00756FF4" w:rsidP="00756FF4">
      <w:pPr>
        <w:jc w:val="both"/>
        <w:rPr>
          <w:rFonts w:ascii="TyponineSans Reg" w:hAnsi="TyponineSans Reg"/>
          <w:b/>
          <w:color w:val="0070C0"/>
          <w:sz w:val="24"/>
          <w:szCs w:val="24"/>
        </w:rPr>
      </w:pPr>
    </w:p>
    <w:p w14:paraId="65FDA4BA" w14:textId="77777777" w:rsidR="00756FF4" w:rsidRPr="007F46E6" w:rsidRDefault="00756FF4" w:rsidP="00756FF4">
      <w:pPr>
        <w:jc w:val="both"/>
        <w:rPr>
          <w:rFonts w:ascii="TyponineSans Reg" w:hAnsi="TyponineSans Reg"/>
          <w:szCs w:val="22"/>
        </w:rPr>
      </w:pPr>
      <w:r w:rsidRPr="007F46E6">
        <w:rPr>
          <w:rFonts w:ascii="TyponineSans Reg" w:hAnsi="TyponineSans Reg"/>
          <w:szCs w:val="22"/>
        </w:rPr>
        <w:t>Sadašnja vrijednost proizvedene dugotrajne imovine Ustanove na dan 31.12.2024. godine iskazana je u vrijednosti od 14.027.327,27 Eur što je za 5,60 % manje u odnosu na prethodnu godinu.</w:t>
      </w:r>
    </w:p>
    <w:p w14:paraId="4EA55CB2" w14:textId="77777777" w:rsidR="00756FF4" w:rsidRPr="007F46E6" w:rsidRDefault="00756FF4" w:rsidP="00756FF4">
      <w:pPr>
        <w:jc w:val="both"/>
        <w:rPr>
          <w:rFonts w:ascii="TyponineSans Reg" w:hAnsi="TyponineSans Reg"/>
          <w:szCs w:val="22"/>
        </w:rPr>
      </w:pPr>
    </w:p>
    <w:p w14:paraId="38E1FAD2" w14:textId="77777777" w:rsidR="00756FF4" w:rsidRPr="00FB4C39" w:rsidRDefault="00756FF4" w:rsidP="00756FF4">
      <w:pPr>
        <w:jc w:val="both"/>
        <w:rPr>
          <w:rFonts w:ascii="TyponineSans Reg" w:hAnsi="TyponineSans Reg"/>
          <w:color w:val="0070C0"/>
          <w:sz w:val="24"/>
          <w:szCs w:val="24"/>
        </w:rPr>
      </w:pPr>
    </w:p>
    <w:p w14:paraId="5060222E" w14:textId="77777777" w:rsidR="00756FF4" w:rsidRPr="00FB4C39" w:rsidRDefault="00756FF4" w:rsidP="00756FF4">
      <w:pPr>
        <w:jc w:val="both"/>
        <w:rPr>
          <w:rFonts w:ascii="TyponineSans Reg" w:hAnsi="TyponineSans Reg"/>
          <w:color w:val="0070C0"/>
          <w:sz w:val="24"/>
          <w:szCs w:val="24"/>
        </w:rPr>
      </w:pPr>
    </w:p>
    <w:p w14:paraId="130C1B07" w14:textId="77777777" w:rsidR="00756FF4" w:rsidRDefault="00756FF4" w:rsidP="00756FF4">
      <w:pPr>
        <w:jc w:val="both"/>
        <w:rPr>
          <w:rFonts w:ascii="TyponineSans Reg" w:hAnsi="TyponineSans Reg"/>
          <w:sz w:val="24"/>
          <w:szCs w:val="24"/>
        </w:rPr>
      </w:pPr>
      <w:r w:rsidRPr="00E41F1F">
        <w:rPr>
          <w:rFonts w:ascii="TyponineSans Reg" w:hAnsi="TyponineSans Reg"/>
          <w:szCs w:val="22"/>
        </w:rPr>
        <w:t>Prikaz kretanja sredstava proizvedene dugotrajne imovine Ustanove tijekom 2024. godine iskazan je na sljedećim kontima</w:t>
      </w:r>
      <w:r w:rsidRPr="00E41F1F">
        <w:rPr>
          <w:rFonts w:ascii="TyponineSans Reg" w:hAnsi="TyponineSans Reg"/>
          <w:sz w:val="24"/>
          <w:szCs w:val="24"/>
        </w:rPr>
        <w:t>:</w:t>
      </w:r>
    </w:p>
    <w:p w14:paraId="527586A0" w14:textId="77777777" w:rsidR="00756FF4" w:rsidRPr="00E41F1F" w:rsidRDefault="00756FF4" w:rsidP="00756FF4">
      <w:pPr>
        <w:jc w:val="both"/>
        <w:rPr>
          <w:rFonts w:ascii="TyponineSans Reg" w:hAnsi="TyponineSans Reg"/>
          <w:sz w:val="24"/>
          <w:szCs w:val="24"/>
        </w:rPr>
      </w:pPr>
    </w:p>
    <w:p w14:paraId="01BA92FA" w14:textId="77777777" w:rsidR="00756FF4" w:rsidRPr="00FB4C39" w:rsidRDefault="00756FF4" w:rsidP="00756FF4">
      <w:pPr>
        <w:jc w:val="both"/>
        <w:rPr>
          <w:rFonts w:ascii="TyponineSans Reg" w:hAnsi="TyponineSans Reg"/>
          <w:color w:val="0070C0"/>
          <w:sz w:val="24"/>
          <w:szCs w:val="24"/>
        </w:rPr>
      </w:pPr>
      <w:r w:rsidRPr="00E41F1F">
        <w:lastRenderedPageBreak/>
        <w:drawing>
          <wp:anchor distT="0" distB="0" distL="114300" distR="114300" simplePos="0" relativeHeight="251672576" behindDoc="0" locked="0" layoutInCell="1" allowOverlap="1" wp14:anchorId="56E3C1DF" wp14:editId="0762EAE7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760720" cy="7752715"/>
            <wp:effectExtent l="0" t="0" r="0" b="635"/>
            <wp:wrapSquare wrapText="bothSides"/>
            <wp:docPr id="4052774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A5350B" w14:textId="77777777" w:rsidR="00756FF4" w:rsidRPr="00FB4C39" w:rsidRDefault="00756FF4" w:rsidP="00756FF4">
      <w:pPr>
        <w:jc w:val="both"/>
        <w:rPr>
          <w:rFonts w:ascii="TyponineSans Reg" w:hAnsi="TyponineSans Reg"/>
          <w:color w:val="0070C0"/>
          <w:sz w:val="24"/>
          <w:szCs w:val="24"/>
        </w:rPr>
      </w:pPr>
    </w:p>
    <w:p w14:paraId="75F0D7FD" w14:textId="77777777" w:rsidR="00756FF4" w:rsidRPr="00FB4C39" w:rsidRDefault="00756FF4" w:rsidP="00756FF4">
      <w:pPr>
        <w:jc w:val="both"/>
        <w:rPr>
          <w:rFonts w:ascii="TyponineSans Reg" w:hAnsi="TyponineSans Reg"/>
          <w:b/>
          <w:color w:val="0070C0"/>
          <w:sz w:val="24"/>
          <w:szCs w:val="24"/>
        </w:rPr>
      </w:pPr>
    </w:p>
    <w:p w14:paraId="339AF288" w14:textId="77777777" w:rsidR="00756FF4" w:rsidRPr="00FB4C39" w:rsidRDefault="00756FF4" w:rsidP="00756FF4">
      <w:pPr>
        <w:jc w:val="both"/>
        <w:rPr>
          <w:rFonts w:ascii="TyponineSans Reg" w:hAnsi="TyponineSans Reg"/>
          <w:b/>
          <w:color w:val="0070C0"/>
          <w:sz w:val="24"/>
          <w:szCs w:val="24"/>
        </w:rPr>
      </w:pPr>
    </w:p>
    <w:p w14:paraId="5A571B5A" w14:textId="77777777" w:rsidR="00756FF4" w:rsidRDefault="00756FF4" w:rsidP="00756FF4">
      <w:pPr>
        <w:jc w:val="both"/>
        <w:rPr>
          <w:rFonts w:ascii="TyponineSans Reg" w:hAnsi="TyponineSans Reg"/>
          <w:b/>
          <w:color w:val="0070C0"/>
          <w:sz w:val="24"/>
          <w:szCs w:val="24"/>
        </w:rPr>
      </w:pPr>
    </w:p>
    <w:p w14:paraId="0779411C" w14:textId="77777777" w:rsidR="00756FF4" w:rsidRPr="00FB4C39" w:rsidRDefault="00756FF4" w:rsidP="00756FF4">
      <w:pPr>
        <w:jc w:val="both"/>
        <w:rPr>
          <w:rFonts w:ascii="TyponineSans Reg" w:hAnsi="TyponineSans Reg"/>
          <w:b/>
          <w:color w:val="0070C0"/>
          <w:sz w:val="24"/>
          <w:szCs w:val="24"/>
        </w:rPr>
      </w:pPr>
    </w:p>
    <w:p w14:paraId="5AC144A1" w14:textId="77777777" w:rsidR="00756FF4" w:rsidRPr="00FB4C39" w:rsidRDefault="00756FF4" w:rsidP="00756FF4">
      <w:pPr>
        <w:jc w:val="both"/>
        <w:rPr>
          <w:rFonts w:ascii="TyponineSans Reg" w:hAnsi="TyponineSans Reg"/>
          <w:bCs/>
          <w:color w:val="0070C0"/>
          <w:sz w:val="24"/>
          <w:szCs w:val="24"/>
        </w:rPr>
      </w:pPr>
    </w:p>
    <w:p w14:paraId="4372B4C5" w14:textId="77777777" w:rsidR="00756FF4" w:rsidRPr="00FB4C39" w:rsidRDefault="00756FF4" w:rsidP="00756FF4">
      <w:pPr>
        <w:jc w:val="both"/>
        <w:rPr>
          <w:rFonts w:ascii="TyponineSans Reg" w:hAnsi="TyponineSans Reg"/>
          <w:b/>
          <w:color w:val="0070C0"/>
          <w:sz w:val="24"/>
          <w:szCs w:val="24"/>
        </w:rPr>
      </w:pPr>
    </w:p>
    <w:p w14:paraId="228DD311" w14:textId="77777777" w:rsidR="00756FF4" w:rsidRPr="00612EC6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  <w:r w:rsidRPr="00612EC6">
        <w:rPr>
          <w:rFonts w:ascii="TyponineSans Reg" w:hAnsi="TyponineSans Reg"/>
          <w:b/>
          <w:sz w:val="24"/>
          <w:szCs w:val="24"/>
        </w:rPr>
        <w:lastRenderedPageBreak/>
        <w:t>Šifra 06</w:t>
      </w:r>
    </w:p>
    <w:p w14:paraId="35E7036D" w14:textId="77777777" w:rsidR="00756FF4" w:rsidRPr="00612EC6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  <w:r w:rsidRPr="00612EC6">
        <w:rPr>
          <w:rFonts w:ascii="TyponineSans Reg" w:hAnsi="TyponineSans Reg"/>
          <w:b/>
          <w:sz w:val="24"/>
          <w:szCs w:val="24"/>
        </w:rPr>
        <w:t>Proizvedena kratkotrajna imovina</w:t>
      </w:r>
    </w:p>
    <w:p w14:paraId="7A7B34AD" w14:textId="77777777" w:rsidR="00756FF4" w:rsidRPr="00612EC6" w:rsidRDefault="00756FF4" w:rsidP="00756FF4">
      <w:pPr>
        <w:jc w:val="both"/>
        <w:rPr>
          <w:rFonts w:ascii="TyponineSans Reg" w:hAnsi="TyponineSans Reg"/>
          <w:sz w:val="24"/>
          <w:szCs w:val="24"/>
        </w:rPr>
      </w:pPr>
    </w:p>
    <w:p w14:paraId="63A0C702" w14:textId="77777777" w:rsidR="00756FF4" w:rsidRPr="00612EC6" w:rsidRDefault="00756FF4" w:rsidP="00756FF4">
      <w:pPr>
        <w:jc w:val="both"/>
        <w:rPr>
          <w:rFonts w:ascii="TyponineSans Reg" w:hAnsi="TyponineSans Reg"/>
          <w:szCs w:val="22"/>
        </w:rPr>
      </w:pPr>
      <w:r w:rsidRPr="00612EC6">
        <w:rPr>
          <w:rFonts w:ascii="TyponineSans Reg" w:hAnsi="TyponineSans Reg"/>
          <w:szCs w:val="22"/>
        </w:rPr>
        <w:t>Iako je Pravilnikom o proračunskom računovodstvu predviđeno da se kratkotrajna imovina priznaje kao rashod odmah u trenutku nabave, budući da se Ustanova bavi djelatnošću trgovine i pružanja ugostiteljskih usluga sveukupna kratkotrajna imovina se priznaje u rashode tek u trenutku prodaje odnosno trošenja.</w:t>
      </w:r>
    </w:p>
    <w:p w14:paraId="29FF82CD" w14:textId="77777777" w:rsidR="00756FF4" w:rsidRPr="00612EC6" w:rsidRDefault="00756FF4" w:rsidP="00756FF4">
      <w:pPr>
        <w:jc w:val="both"/>
        <w:rPr>
          <w:rFonts w:ascii="TyponineSans Reg" w:hAnsi="TyponineSans Reg"/>
          <w:sz w:val="24"/>
          <w:szCs w:val="24"/>
        </w:rPr>
      </w:pPr>
    </w:p>
    <w:p w14:paraId="4A49BB9A" w14:textId="77777777" w:rsidR="00756FF4" w:rsidRPr="00612EC6" w:rsidRDefault="00756FF4" w:rsidP="00756FF4">
      <w:pPr>
        <w:jc w:val="both"/>
        <w:rPr>
          <w:rFonts w:ascii="TyponineSans Reg" w:hAnsi="TyponineSans Reg"/>
          <w:szCs w:val="22"/>
        </w:rPr>
      </w:pPr>
      <w:r w:rsidRPr="00612EC6">
        <w:rPr>
          <w:rFonts w:ascii="TyponineSans Reg" w:hAnsi="TyponineSans Reg"/>
          <w:szCs w:val="22"/>
        </w:rPr>
        <w:t>Stanje proizvedene kratkotrajne imovine Ustanove na dan 31.12.2024. godine iznosilo je ukupno 109.062,86 Eur a pregled proizvedene kratkotrajne imovine po pojedinačnim kontima iskazano je u sljedećoj tablici:</w:t>
      </w:r>
    </w:p>
    <w:p w14:paraId="09AEE794" w14:textId="77777777" w:rsidR="00756FF4" w:rsidRPr="00612EC6" w:rsidRDefault="00756FF4" w:rsidP="00756FF4">
      <w:pPr>
        <w:jc w:val="both"/>
        <w:rPr>
          <w:rFonts w:ascii="TyponineSans Reg" w:hAnsi="TyponineSans Reg"/>
          <w:szCs w:val="22"/>
        </w:rPr>
      </w:pPr>
    </w:p>
    <w:tbl>
      <w:tblPr>
        <w:tblW w:w="8222" w:type="dxa"/>
        <w:tblLook w:val="04A0" w:firstRow="1" w:lastRow="0" w:firstColumn="1" w:lastColumn="0" w:noHBand="0" w:noVBand="1"/>
      </w:tblPr>
      <w:tblGrid>
        <w:gridCol w:w="860"/>
        <w:gridCol w:w="3282"/>
        <w:gridCol w:w="1380"/>
        <w:gridCol w:w="1440"/>
        <w:gridCol w:w="1260"/>
      </w:tblGrid>
      <w:tr w:rsidR="00756FF4" w:rsidRPr="00612EC6" w14:paraId="4D62FE44" w14:textId="77777777" w:rsidTr="004722D8">
        <w:trPr>
          <w:trHeight w:val="34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3FFFF"/>
            <w:noWrap/>
            <w:vAlign w:val="center"/>
            <w:hideMark/>
          </w:tcPr>
          <w:p w14:paraId="15F6CA12" w14:textId="77777777" w:rsidR="00756FF4" w:rsidRPr="00612EC6" w:rsidRDefault="00756FF4" w:rsidP="004722D8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Konto</w:t>
            </w:r>
            <w:proofErr w:type="spellEnd"/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3FFFF"/>
            <w:noWrap/>
            <w:vAlign w:val="center"/>
            <w:hideMark/>
          </w:tcPr>
          <w:p w14:paraId="37B2DBF2" w14:textId="77777777" w:rsidR="00756FF4" w:rsidRPr="00612EC6" w:rsidRDefault="00756FF4" w:rsidP="004722D8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Naziv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3FFFF"/>
            <w:noWrap/>
            <w:vAlign w:val="bottom"/>
            <w:hideMark/>
          </w:tcPr>
          <w:p w14:paraId="63ACB0B9" w14:textId="77777777" w:rsidR="00756FF4" w:rsidRPr="00612EC6" w:rsidRDefault="00756FF4" w:rsidP="004722D8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Stanje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3FFFF"/>
            <w:noWrap/>
            <w:vAlign w:val="bottom"/>
            <w:hideMark/>
          </w:tcPr>
          <w:p w14:paraId="730492EE" w14:textId="77777777" w:rsidR="00756FF4" w:rsidRPr="00612EC6" w:rsidRDefault="00756FF4" w:rsidP="004722D8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Stanje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3FFFF"/>
            <w:noWrap/>
            <w:vAlign w:val="bottom"/>
            <w:hideMark/>
          </w:tcPr>
          <w:p w14:paraId="1185999E" w14:textId="77777777" w:rsidR="00756FF4" w:rsidRPr="00612EC6" w:rsidRDefault="00756FF4" w:rsidP="004722D8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Index</w:t>
            </w:r>
          </w:p>
        </w:tc>
      </w:tr>
      <w:tr w:rsidR="00756FF4" w:rsidRPr="00612EC6" w14:paraId="38B71C6C" w14:textId="77777777" w:rsidTr="004722D8">
        <w:trPr>
          <w:trHeight w:val="342"/>
        </w:trPr>
        <w:tc>
          <w:tcPr>
            <w:tcW w:w="8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E3FFFF"/>
            <w:noWrap/>
            <w:vAlign w:val="center"/>
            <w:hideMark/>
          </w:tcPr>
          <w:p w14:paraId="69C1558F" w14:textId="77777777" w:rsidR="00756FF4" w:rsidRPr="00612EC6" w:rsidRDefault="00756FF4" w:rsidP="004722D8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3FFFF"/>
            <w:noWrap/>
            <w:vAlign w:val="center"/>
            <w:hideMark/>
          </w:tcPr>
          <w:p w14:paraId="38FC4D81" w14:textId="77777777" w:rsidR="00756FF4" w:rsidRPr="00612EC6" w:rsidRDefault="00756FF4" w:rsidP="004722D8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3FFFF"/>
            <w:noWrap/>
            <w:vAlign w:val="bottom"/>
            <w:hideMark/>
          </w:tcPr>
          <w:p w14:paraId="42361FAF" w14:textId="77777777" w:rsidR="00756FF4" w:rsidRPr="00612EC6" w:rsidRDefault="00756FF4" w:rsidP="004722D8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01.01.2024.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3FFFF"/>
            <w:noWrap/>
            <w:vAlign w:val="bottom"/>
            <w:hideMark/>
          </w:tcPr>
          <w:p w14:paraId="316A63E7" w14:textId="77777777" w:rsidR="00756FF4" w:rsidRPr="00612EC6" w:rsidRDefault="00756FF4" w:rsidP="004722D8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31.12.2024.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3FFFF"/>
            <w:noWrap/>
            <w:vAlign w:val="bottom"/>
            <w:hideMark/>
          </w:tcPr>
          <w:p w14:paraId="59875AE6" w14:textId="77777777" w:rsidR="00756FF4" w:rsidRPr="00612EC6" w:rsidRDefault="00756FF4" w:rsidP="004722D8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kol</w:t>
            </w:r>
            <w:proofErr w:type="spellEnd"/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 xml:space="preserve"> 3. /</w:t>
            </w:r>
            <w:proofErr w:type="spellStart"/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kol</w:t>
            </w:r>
            <w:proofErr w:type="spellEnd"/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 xml:space="preserve"> 4.</w:t>
            </w:r>
          </w:p>
        </w:tc>
      </w:tr>
      <w:tr w:rsidR="00756FF4" w:rsidRPr="00612EC6" w14:paraId="3D0020B3" w14:textId="77777777" w:rsidTr="004722D8">
        <w:trPr>
          <w:trHeight w:val="342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3FFFF"/>
            <w:noWrap/>
            <w:vAlign w:val="center"/>
            <w:hideMark/>
          </w:tcPr>
          <w:p w14:paraId="63CA202B" w14:textId="77777777" w:rsidR="00756FF4" w:rsidRPr="00612EC6" w:rsidRDefault="00756FF4" w:rsidP="004722D8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FFF"/>
            <w:noWrap/>
            <w:vAlign w:val="center"/>
            <w:hideMark/>
          </w:tcPr>
          <w:p w14:paraId="5C40EFA8" w14:textId="77777777" w:rsidR="00756FF4" w:rsidRPr="00612EC6" w:rsidRDefault="00756FF4" w:rsidP="004722D8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FFF"/>
            <w:noWrap/>
            <w:vAlign w:val="center"/>
            <w:hideMark/>
          </w:tcPr>
          <w:p w14:paraId="4236D84C" w14:textId="77777777" w:rsidR="00756FF4" w:rsidRPr="00612EC6" w:rsidRDefault="00756FF4" w:rsidP="004722D8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FFF"/>
            <w:noWrap/>
            <w:vAlign w:val="center"/>
            <w:hideMark/>
          </w:tcPr>
          <w:p w14:paraId="4D14B466" w14:textId="77777777" w:rsidR="00756FF4" w:rsidRPr="00612EC6" w:rsidRDefault="00756FF4" w:rsidP="004722D8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4.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3FFFF"/>
            <w:noWrap/>
            <w:vAlign w:val="center"/>
            <w:hideMark/>
          </w:tcPr>
          <w:p w14:paraId="2E599043" w14:textId="77777777" w:rsidR="00756FF4" w:rsidRPr="00612EC6" w:rsidRDefault="00756FF4" w:rsidP="004722D8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5.</w:t>
            </w:r>
          </w:p>
        </w:tc>
      </w:tr>
      <w:tr w:rsidR="00756FF4" w:rsidRPr="00612EC6" w14:paraId="0E1066F8" w14:textId="77777777" w:rsidTr="004722D8">
        <w:trPr>
          <w:trHeight w:val="34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3C02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3FFFF"/>
            <w:noWrap/>
            <w:vAlign w:val="bottom"/>
            <w:hideMark/>
          </w:tcPr>
          <w:p w14:paraId="3651EF6B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BBC9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AE51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617EC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</w:tr>
      <w:tr w:rsidR="00756FF4" w:rsidRPr="00612EC6" w14:paraId="7BBAEEB4" w14:textId="77777777" w:rsidTr="004722D8">
        <w:trPr>
          <w:trHeight w:val="34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EE58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06132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3FFFF"/>
            <w:noWrap/>
            <w:vAlign w:val="bottom"/>
            <w:hideMark/>
          </w:tcPr>
          <w:p w14:paraId="23A66CEE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Zalihe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goriva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lož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ulja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i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plina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9A76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8.016,21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7CF5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9.297,56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57F8B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115,98</w:t>
            </w:r>
          </w:p>
        </w:tc>
      </w:tr>
      <w:tr w:rsidR="00756FF4" w:rsidRPr="00612EC6" w14:paraId="59DD44EE" w14:textId="77777777" w:rsidTr="004722D8">
        <w:trPr>
          <w:trHeight w:val="34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6F38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06133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3FFFF"/>
            <w:noWrap/>
            <w:vAlign w:val="bottom"/>
            <w:hideMark/>
          </w:tcPr>
          <w:p w14:paraId="210B8CB0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Zalihe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hrane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i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pića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1181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34.628,29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6C56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37.288,32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DFD5B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107,68</w:t>
            </w:r>
          </w:p>
        </w:tc>
      </w:tr>
      <w:tr w:rsidR="00756FF4" w:rsidRPr="00612EC6" w14:paraId="021097E6" w14:textId="77777777" w:rsidTr="004722D8">
        <w:trPr>
          <w:trHeight w:val="34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3322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061390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3FFFF"/>
            <w:noWrap/>
            <w:vAlign w:val="bottom"/>
            <w:hideMark/>
          </w:tcPr>
          <w:p w14:paraId="54785C91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Zalihe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materijala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za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redovno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poslovanje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0FE0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4.104,51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DF1C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6.172,25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93419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150,38</w:t>
            </w:r>
          </w:p>
        </w:tc>
      </w:tr>
      <w:tr w:rsidR="00756FF4" w:rsidRPr="00612EC6" w14:paraId="454320F6" w14:textId="77777777" w:rsidTr="004722D8">
        <w:trPr>
          <w:trHeight w:val="34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0CD9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061392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3FFFF"/>
            <w:noWrap/>
            <w:vAlign w:val="bottom"/>
            <w:hideMark/>
          </w:tcPr>
          <w:p w14:paraId="0419C6D1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Zalihe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materijala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za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tek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.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i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inv.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održavanje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EC35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93,56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9480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45,48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3FE64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48,61</w:t>
            </w:r>
          </w:p>
        </w:tc>
      </w:tr>
      <w:tr w:rsidR="00756FF4" w:rsidRPr="00612EC6" w14:paraId="21CAC27B" w14:textId="77777777" w:rsidTr="004722D8">
        <w:trPr>
          <w:trHeight w:val="34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6704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061393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3FFFF"/>
            <w:noWrap/>
            <w:vAlign w:val="bottom"/>
            <w:hideMark/>
          </w:tcPr>
          <w:p w14:paraId="3000E2A4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Zalihe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suvenira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brošura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i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slično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6D6B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13.489,98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726A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13.383,78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756D3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99,21</w:t>
            </w:r>
          </w:p>
        </w:tc>
      </w:tr>
      <w:tr w:rsidR="00756FF4" w:rsidRPr="00612EC6" w14:paraId="20523694" w14:textId="77777777" w:rsidTr="004722D8">
        <w:trPr>
          <w:trHeight w:val="34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BCD3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061394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3FFFF"/>
            <w:noWrap/>
            <w:vAlign w:val="bottom"/>
            <w:hideMark/>
          </w:tcPr>
          <w:p w14:paraId="10BFEA2F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Zalihe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cigareta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sladoleda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i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slično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C68C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701,85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A88C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2.380,40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6EBD6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339,16</w:t>
            </w:r>
          </w:p>
        </w:tc>
      </w:tr>
      <w:tr w:rsidR="00756FF4" w:rsidRPr="00612EC6" w14:paraId="50AC6FDA" w14:textId="77777777" w:rsidTr="004722D8">
        <w:trPr>
          <w:trHeight w:val="34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8A56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061395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3FFFF"/>
            <w:noWrap/>
            <w:vAlign w:val="bottom"/>
            <w:hideMark/>
          </w:tcPr>
          <w:p w14:paraId="023BAC0F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Zalihe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ambalaže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725F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4.412,83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85D3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4.793,11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EBBEE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108,62</w:t>
            </w:r>
          </w:p>
        </w:tc>
      </w:tr>
      <w:tr w:rsidR="00756FF4" w:rsidRPr="00612EC6" w14:paraId="0E10502C" w14:textId="77777777" w:rsidTr="004722D8">
        <w:trPr>
          <w:trHeight w:val="34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E899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061399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3FFFF"/>
            <w:noWrap/>
            <w:vAlign w:val="bottom"/>
            <w:hideMark/>
          </w:tcPr>
          <w:p w14:paraId="3526E65D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Ostale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zalihe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za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redovne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djelatnosti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3AC8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CF96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7B1E5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0,00</w:t>
            </w:r>
          </w:p>
        </w:tc>
      </w:tr>
      <w:tr w:rsidR="00756FF4" w:rsidRPr="00612EC6" w14:paraId="6200CEB9" w14:textId="77777777" w:rsidTr="004722D8">
        <w:trPr>
          <w:trHeight w:val="342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06162" w14:textId="77777777" w:rsidR="00756FF4" w:rsidRPr="00612EC6" w:rsidRDefault="00756FF4" w:rsidP="004722D8">
            <w:pPr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061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FFF"/>
            <w:noWrap/>
            <w:vAlign w:val="bottom"/>
            <w:hideMark/>
          </w:tcPr>
          <w:p w14:paraId="1504A553" w14:textId="77777777" w:rsidR="00756FF4" w:rsidRPr="00612EC6" w:rsidRDefault="00756FF4" w:rsidP="004722D8">
            <w:pPr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Ukupno</w:t>
            </w:r>
            <w:proofErr w:type="spellEnd"/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zalihe</w:t>
            </w:r>
            <w:proofErr w:type="spellEnd"/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 xml:space="preserve"> za </w:t>
            </w:r>
            <w:proofErr w:type="spellStart"/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obavljanje</w:t>
            </w:r>
            <w:proofErr w:type="spellEnd"/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djelat</w:t>
            </w:r>
            <w:proofErr w:type="spellEnd"/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27E2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65.447,23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F4ED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73.360,90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DEA43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112,09</w:t>
            </w:r>
          </w:p>
        </w:tc>
      </w:tr>
      <w:tr w:rsidR="00756FF4" w:rsidRPr="00612EC6" w14:paraId="3A75F265" w14:textId="77777777" w:rsidTr="004722D8">
        <w:trPr>
          <w:trHeight w:val="34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8CDC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064110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3FFFF"/>
            <w:noWrap/>
            <w:vAlign w:val="bottom"/>
            <w:hideMark/>
          </w:tcPr>
          <w:p w14:paraId="40B3C537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Zalihe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trgovačke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robe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9B08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59.038,08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69C3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56.422,44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707E0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95,57</w:t>
            </w:r>
          </w:p>
        </w:tc>
      </w:tr>
      <w:tr w:rsidR="00756FF4" w:rsidRPr="00612EC6" w14:paraId="72D57BBD" w14:textId="77777777" w:rsidTr="004722D8">
        <w:trPr>
          <w:trHeight w:val="34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D43F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064115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3FFFF"/>
            <w:noWrap/>
            <w:vAlign w:val="bottom"/>
            <w:hideMark/>
          </w:tcPr>
          <w:p w14:paraId="213B60A3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Ukalkulirani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PDV u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zalihama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0854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-11.619,72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8AC9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-11.096,60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3F5B3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95,50</w:t>
            </w:r>
          </w:p>
        </w:tc>
      </w:tr>
      <w:tr w:rsidR="00756FF4" w:rsidRPr="00612EC6" w14:paraId="58E49E38" w14:textId="77777777" w:rsidTr="004722D8">
        <w:trPr>
          <w:trHeight w:val="34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E5D8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064116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3FFFF"/>
            <w:noWrap/>
            <w:vAlign w:val="bottom"/>
            <w:hideMark/>
          </w:tcPr>
          <w:p w14:paraId="219648F1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Ukalkulirana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marža</w:t>
            </w:r>
            <w:proofErr w:type="spellEnd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 xml:space="preserve"> u </w:t>
            </w:r>
            <w:proofErr w:type="spellStart"/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zalihama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053F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-10.573,01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F523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-9.623,88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B22D8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91,02</w:t>
            </w:r>
          </w:p>
        </w:tc>
      </w:tr>
      <w:tr w:rsidR="00756FF4" w:rsidRPr="00612EC6" w14:paraId="0AC06056" w14:textId="77777777" w:rsidTr="004722D8">
        <w:trPr>
          <w:trHeight w:val="342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6BDF5" w14:textId="77777777" w:rsidR="00756FF4" w:rsidRPr="00612EC6" w:rsidRDefault="00756FF4" w:rsidP="004722D8">
            <w:pPr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064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FFF"/>
            <w:noWrap/>
            <w:vAlign w:val="bottom"/>
            <w:hideMark/>
          </w:tcPr>
          <w:p w14:paraId="13024443" w14:textId="77777777" w:rsidR="00756FF4" w:rsidRPr="00612EC6" w:rsidRDefault="00756FF4" w:rsidP="004722D8">
            <w:pPr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Ukupno</w:t>
            </w:r>
            <w:proofErr w:type="spellEnd"/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roba</w:t>
            </w:r>
            <w:proofErr w:type="spellEnd"/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 xml:space="preserve"> za </w:t>
            </w:r>
            <w:proofErr w:type="spellStart"/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daljnju</w:t>
            </w:r>
            <w:proofErr w:type="spellEnd"/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prodaju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732A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36.845,35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EE46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35.701,96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0A902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96,90</w:t>
            </w:r>
          </w:p>
        </w:tc>
      </w:tr>
      <w:tr w:rsidR="00756FF4" w:rsidRPr="00612EC6" w14:paraId="4E966049" w14:textId="77777777" w:rsidTr="004722D8">
        <w:trPr>
          <w:trHeight w:val="34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75F9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3FFFF"/>
            <w:noWrap/>
            <w:vAlign w:val="bottom"/>
            <w:hideMark/>
          </w:tcPr>
          <w:p w14:paraId="578683CF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786F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2B2B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CD93A" w14:textId="77777777" w:rsidR="00756FF4" w:rsidRPr="00612EC6" w:rsidRDefault="00756FF4" w:rsidP="004722D8">
            <w:pPr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</w:tr>
      <w:tr w:rsidR="00756FF4" w:rsidRPr="00612EC6" w14:paraId="747D172D" w14:textId="77777777" w:rsidTr="004722D8">
        <w:trPr>
          <w:trHeight w:val="342"/>
        </w:trPr>
        <w:tc>
          <w:tcPr>
            <w:tcW w:w="86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3FFFF"/>
            <w:noWrap/>
            <w:vAlign w:val="center"/>
            <w:hideMark/>
          </w:tcPr>
          <w:p w14:paraId="79F89EAB" w14:textId="77777777" w:rsidR="00756FF4" w:rsidRPr="00612EC6" w:rsidRDefault="00756FF4" w:rsidP="004722D8">
            <w:pPr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282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3FFFF"/>
            <w:noWrap/>
            <w:vAlign w:val="center"/>
            <w:hideMark/>
          </w:tcPr>
          <w:p w14:paraId="51EBF145" w14:textId="77777777" w:rsidR="00756FF4" w:rsidRPr="00612EC6" w:rsidRDefault="00756FF4" w:rsidP="004722D8">
            <w:pPr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proofErr w:type="spellStart"/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Ukupno</w:t>
            </w:r>
            <w:proofErr w:type="spellEnd"/>
          </w:p>
        </w:tc>
        <w:tc>
          <w:tcPr>
            <w:tcW w:w="138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3FFFF"/>
            <w:noWrap/>
            <w:vAlign w:val="center"/>
            <w:hideMark/>
          </w:tcPr>
          <w:p w14:paraId="6393B450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102.292,58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3FFFF"/>
            <w:noWrap/>
            <w:vAlign w:val="center"/>
            <w:hideMark/>
          </w:tcPr>
          <w:p w14:paraId="34794F82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109.062,86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FFFF"/>
            <w:noWrap/>
            <w:vAlign w:val="center"/>
            <w:hideMark/>
          </w:tcPr>
          <w:p w14:paraId="2CEBFE07" w14:textId="77777777" w:rsidR="00756FF4" w:rsidRPr="00612EC6" w:rsidRDefault="00756FF4" w:rsidP="004722D8">
            <w:pPr>
              <w:jc w:val="right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</w:pPr>
            <w:r w:rsidRPr="00612EC6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GB" w:eastAsia="en-GB"/>
              </w:rPr>
              <w:t>106,62</w:t>
            </w:r>
          </w:p>
        </w:tc>
      </w:tr>
    </w:tbl>
    <w:p w14:paraId="7DEF01DF" w14:textId="77777777" w:rsidR="00756FF4" w:rsidRPr="00FB4C39" w:rsidRDefault="00756FF4" w:rsidP="00756FF4">
      <w:pPr>
        <w:jc w:val="both"/>
        <w:rPr>
          <w:rFonts w:ascii="TyponineSans Reg" w:hAnsi="TyponineSans Reg"/>
          <w:color w:val="0070C0"/>
          <w:sz w:val="24"/>
          <w:szCs w:val="24"/>
        </w:rPr>
      </w:pPr>
    </w:p>
    <w:p w14:paraId="5527B0D6" w14:textId="77777777" w:rsidR="00756FF4" w:rsidRPr="00FB4C39" w:rsidRDefault="00756FF4" w:rsidP="00756FF4">
      <w:pPr>
        <w:jc w:val="both"/>
        <w:rPr>
          <w:rFonts w:ascii="TyponineSans Reg" w:hAnsi="TyponineSans Reg"/>
          <w:color w:val="0070C0"/>
          <w:sz w:val="24"/>
          <w:szCs w:val="24"/>
        </w:rPr>
      </w:pPr>
    </w:p>
    <w:p w14:paraId="6EB7E013" w14:textId="77777777" w:rsidR="00756FF4" w:rsidRPr="009C029D" w:rsidRDefault="00756FF4" w:rsidP="00756FF4">
      <w:pPr>
        <w:jc w:val="both"/>
        <w:rPr>
          <w:rFonts w:ascii="TyponineSans Reg" w:hAnsi="TyponineSans Reg"/>
          <w:bCs/>
          <w:szCs w:val="22"/>
        </w:rPr>
      </w:pPr>
      <w:r w:rsidRPr="009C029D">
        <w:rPr>
          <w:rFonts w:ascii="TyponineSans Reg" w:hAnsi="TyponineSans Reg"/>
          <w:bCs/>
          <w:szCs w:val="22"/>
        </w:rPr>
        <w:t xml:space="preserve">Iz priložene tablice vidljivo je da je stanje zaliha materijala za obavljanje redovne djelatnosti veće je za 12,09% u odnosu na prethodnu godinu, dok je stanje zalihe robe za daljnju prodaju manje za 3,10%. </w:t>
      </w:r>
    </w:p>
    <w:p w14:paraId="1F1C2D0B" w14:textId="77777777" w:rsidR="00756FF4" w:rsidRPr="009C029D" w:rsidRDefault="00756FF4" w:rsidP="00756FF4">
      <w:pPr>
        <w:jc w:val="both"/>
        <w:rPr>
          <w:rFonts w:ascii="TyponineSans Reg" w:hAnsi="TyponineSans Reg"/>
          <w:bCs/>
          <w:szCs w:val="22"/>
        </w:rPr>
      </w:pPr>
    </w:p>
    <w:p w14:paraId="16F8C774" w14:textId="77777777" w:rsidR="00756FF4" w:rsidRPr="00FB4C39" w:rsidRDefault="00756FF4" w:rsidP="00756FF4">
      <w:pPr>
        <w:jc w:val="both"/>
        <w:rPr>
          <w:rFonts w:ascii="TyponineSans Reg" w:hAnsi="TyponineSans Reg"/>
          <w:bCs/>
          <w:color w:val="0070C0"/>
          <w:szCs w:val="22"/>
        </w:rPr>
      </w:pPr>
    </w:p>
    <w:p w14:paraId="6108796A" w14:textId="77777777" w:rsidR="00756FF4" w:rsidRPr="00403958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  <w:r w:rsidRPr="00403958">
        <w:rPr>
          <w:rFonts w:ascii="TyponineSans Reg" w:hAnsi="TyponineSans Reg"/>
          <w:b/>
          <w:sz w:val="24"/>
          <w:szCs w:val="24"/>
        </w:rPr>
        <w:t>Šifra 11</w:t>
      </w:r>
    </w:p>
    <w:p w14:paraId="1D26D444" w14:textId="77777777" w:rsidR="00756FF4" w:rsidRPr="00403958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  <w:r w:rsidRPr="00403958">
        <w:rPr>
          <w:rFonts w:ascii="TyponineSans Reg" w:hAnsi="TyponineSans Reg"/>
          <w:b/>
          <w:sz w:val="24"/>
          <w:szCs w:val="24"/>
        </w:rPr>
        <w:t>Novac u banci i blagajni</w:t>
      </w:r>
    </w:p>
    <w:p w14:paraId="75A9F8BC" w14:textId="77777777" w:rsidR="00756FF4" w:rsidRPr="00403958" w:rsidRDefault="00756FF4" w:rsidP="00756FF4">
      <w:pPr>
        <w:jc w:val="both"/>
        <w:rPr>
          <w:rFonts w:ascii="TyponineSans Reg" w:hAnsi="TyponineSans Reg"/>
          <w:b/>
          <w:szCs w:val="22"/>
        </w:rPr>
      </w:pPr>
    </w:p>
    <w:p w14:paraId="14B841CE" w14:textId="0AABE779" w:rsidR="00756FF4" w:rsidRDefault="00756FF4" w:rsidP="00756FF4">
      <w:pPr>
        <w:jc w:val="both"/>
        <w:rPr>
          <w:rFonts w:ascii="TyponineSans Reg" w:hAnsi="TyponineSans Reg"/>
          <w:color w:val="0070C0"/>
          <w:szCs w:val="22"/>
        </w:rPr>
      </w:pPr>
      <w:r w:rsidRPr="00403958">
        <w:rPr>
          <w:rFonts w:ascii="TyponineSans Reg" w:hAnsi="TyponineSans Reg"/>
          <w:szCs w:val="22"/>
        </w:rPr>
        <w:t xml:space="preserve">U okviru skupine konta 11 iskazana je vrijednost sredstva na žiro-računu u banci i blagajnama Ustanove u iznosu od </w:t>
      </w:r>
      <w:r>
        <w:rPr>
          <w:rFonts w:ascii="TyponineSans Reg" w:hAnsi="TyponineSans Reg"/>
          <w:szCs w:val="22"/>
        </w:rPr>
        <w:t>2</w:t>
      </w:r>
      <w:r w:rsidRPr="00403958">
        <w:rPr>
          <w:rFonts w:ascii="TyponineSans Reg" w:hAnsi="TyponineSans Reg"/>
          <w:szCs w:val="22"/>
        </w:rPr>
        <w:t>.568.053,27 Eur što je što je  za 38,20 % manje u odnosu na prethodnu godinu kada je stanje novčanih sredstava iznosilo 4</w:t>
      </w:r>
      <w:r>
        <w:rPr>
          <w:rFonts w:ascii="TyponineSans Reg" w:hAnsi="TyponineSans Reg"/>
          <w:szCs w:val="22"/>
        </w:rPr>
        <w:t>.</w:t>
      </w:r>
      <w:r w:rsidRPr="00403958">
        <w:rPr>
          <w:rFonts w:ascii="TyponineSans Reg" w:hAnsi="TyponineSans Reg"/>
          <w:szCs w:val="22"/>
        </w:rPr>
        <w:t>15</w:t>
      </w:r>
      <w:r>
        <w:rPr>
          <w:rFonts w:ascii="TyponineSans Reg" w:hAnsi="TyponineSans Reg"/>
          <w:szCs w:val="22"/>
        </w:rPr>
        <w:t>6.751</w:t>
      </w:r>
      <w:r w:rsidRPr="00403958">
        <w:rPr>
          <w:rFonts w:ascii="TyponineSans Reg" w:hAnsi="TyponineSans Reg"/>
          <w:szCs w:val="22"/>
        </w:rPr>
        <w:t>,</w:t>
      </w:r>
      <w:r>
        <w:rPr>
          <w:rFonts w:ascii="TyponineSans Reg" w:hAnsi="TyponineSans Reg"/>
          <w:szCs w:val="22"/>
        </w:rPr>
        <w:t>09</w:t>
      </w:r>
      <w:r w:rsidRPr="00403958">
        <w:rPr>
          <w:rFonts w:ascii="TyponineSans Reg" w:hAnsi="TyponineSans Reg"/>
          <w:szCs w:val="22"/>
        </w:rPr>
        <w:t xml:space="preserve"> Eur, prije svega zbog znatnog povećanja isplata za plaće </w:t>
      </w:r>
      <w:r w:rsidR="00A96CA4">
        <w:rPr>
          <w:rFonts w:ascii="TyponineSans Reg" w:hAnsi="TyponineSans Reg"/>
          <w:szCs w:val="22"/>
        </w:rPr>
        <w:t>zaposlenika Ustanove</w:t>
      </w:r>
      <w:r w:rsidRPr="00403958">
        <w:rPr>
          <w:rFonts w:ascii="TyponineSans Reg" w:hAnsi="TyponineSans Reg"/>
          <w:szCs w:val="22"/>
        </w:rPr>
        <w:t xml:space="preserve">. Rashodi za </w:t>
      </w:r>
      <w:r>
        <w:rPr>
          <w:rFonts w:ascii="TyponineSans Reg" w:hAnsi="TyponineSans Reg"/>
          <w:szCs w:val="22"/>
        </w:rPr>
        <w:t>zaposlene</w:t>
      </w:r>
      <w:r w:rsidRPr="00403958">
        <w:rPr>
          <w:rFonts w:ascii="TyponineSans Reg" w:hAnsi="TyponineSans Reg"/>
          <w:szCs w:val="22"/>
        </w:rPr>
        <w:t xml:space="preserve"> por</w:t>
      </w:r>
      <w:r>
        <w:rPr>
          <w:rFonts w:ascii="TyponineSans Reg" w:hAnsi="TyponineSans Reg"/>
          <w:szCs w:val="22"/>
        </w:rPr>
        <w:t>asli</w:t>
      </w:r>
      <w:r w:rsidRPr="00403958">
        <w:rPr>
          <w:rFonts w:ascii="TyponineSans Reg" w:hAnsi="TyponineSans Reg"/>
          <w:szCs w:val="22"/>
        </w:rPr>
        <w:t xml:space="preserve"> su u tekućoj godini za 37,9 % u odnosu na prethodnu godinu. </w:t>
      </w:r>
      <w:r>
        <w:rPr>
          <w:rFonts w:ascii="TyponineSans Reg" w:hAnsi="TyponineSans Reg"/>
          <w:color w:val="0070C0"/>
          <w:szCs w:val="22"/>
        </w:rPr>
        <w:t xml:space="preserve"> </w:t>
      </w:r>
    </w:p>
    <w:p w14:paraId="56EA8FC8" w14:textId="77777777" w:rsidR="00756FF4" w:rsidRDefault="00756FF4" w:rsidP="00756FF4">
      <w:pPr>
        <w:jc w:val="both"/>
        <w:rPr>
          <w:rFonts w:ascii="TyponineSans Reg" w:hAnsi="TyponineSans Reg"/>
          <w:color w:val="0070C0"/>
          <w:szCs w:val="22"/>
        </w:rPr>
      </w:pPr>
    </w:p>
    <w:p w14:paraId="63084D0D" w14:textId="77777777" w:rsidR="00BB1F93" w:rsidRDefault="00BB1F93" w:rsidP="00756FF4">
      <w:pPr>
        <w:jc w:val="both"/>
        <w:rPr>
          <w:rFonts w:ascii="TyponineSans Reg" w:hAnsi="TyponineSans Reg"/>
          <w:color w:val="0070C0"/>
          <w:szCs w:val="22"/>
        </w:rPr>
      </w:pPr>
    </w:p>
    <w:p w14:paraId="79445EAB" w14:textId="77777777" w:rsidR="00BB1F93" w:rsidRDefault="00BB1F93" w:rsidP="00756FF4">
      <w:pPr>
        <w:jc w:val="both"/>
        <w:rPr>
          <w:rFonts w:ascii="TyponineSans Reg" w:hAnsi="TyponineSans Reg"/>
          <w:color w:val="0070C0"/>
          <w:szCs w:val="22"/>
        </w:rPr>
      </w:pPr>
    </w:p>
    <w:p w14:paraId="7BC138E6" w14:textId="77777777" w:rsidR="00756FF4" w:rsidRPr="00FB4C39" w:rsidRDefault="00756FF4" w:rsidP="00756FF4">
      <w:pPr>
        <w:jc w:val="both"/>
        <w:rPr>
          <w:rFonts w:ascii="TyponineSans Reg" w:hAnsi="TyponineSans Reg"/>
          <w:color w:val="0070C0"/>
          <w:sz w:val="24"/>
          <w:szCs w:val="24"/>
        </w:rPr>
      </w:pPr>
    </w:p>
    <w:p w14:paraId="3EB0D12E" w14:textId="77777777" w:rsidR="00756FF4" w:rsidRPr="00EE1DA8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  <w:r w:rsidRPr="00EE1DA8">
        <w:rPr>
          <w:rFonts w:ascii="TyponineSans Reg" w:hAnsi="TyponineSans Reg"/>
          <w:b/>
          <w:sz w:val="24"/>
          <w:szCs w:val="24"/>
        </w:rPr>
        <w:lastRenderedPageBreak/>
        <w:t>Šifra 124</w:t>
      </w:r>
    </w:p>
    <w:p w14:paraId="2055B4D8" w14:textId="77777777" w:rsidR="00756FF4" w:rsidRPr="00EE1DA8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  <w:r w:rsidRPr="00EE1DA8">
        <w:rPr>
          <w:rFonts w:ascii="TyponineSans Reg" w:hAnsi="TyponineSans Reg"/>
          <w:b/>
          <w:sz w:val="24"/>
          <w:szCs w:val="24"/>
        </w:rPr>
        <w:t>Potraživanja za više plaćene poreze i doprinose</w:t>
      </w:r>
    </w:p>
    <w:p w14:paraId="130781DC" w14:textId="77777777" w:rsidR="00756FF4" w:rsidRPr="00EE1DA8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</w:p>
    <w:p w14:paraId="220DA206" w14:textId="6C7EE5E0" w:rsidR="00756FF4" w:rsidRPr="00EE1DA8" w:rsidRDefault="00756FF4" w:rsidP="00756FF4">
      <w:pPr>
        <w:jc w:val="both"/>
        <w:rPr>
          <w:rFonts w:ascii="TyponineSans Reg" w:hAnsi="TyponineSans Reg"/>
          <w:szCs w:val="22"/>
        </w:rPr>
      </w:pPr>
      <w:r w:rsidRPr="00EE1DA8">
        <w:rPr>
          <w:rFonts w:ascii="TyponineSans Reg" w:hAnsi="TyponineSans Reg"/>
          <w:szCs w:val="22"/>
        </w:rPr>
        <w:t>U okviru konta 124 iskazano je potraživanje  za obračunati pretporez koji je u tekućoj godini iznosio 75.371,71 Eur dok je u prethodnoj godini iznosio 112.780,25 Eur što je smanjenje od 33,</w:t>
      </w:r>
      <w:r>
        <w:rPr>
          <w:rFonts w:ascii="TyponineSans Reg" w:hAnsi="TyponineSans Reg"/>
          <w:szCs w:val="22"/>
        </w:rPr>
        <w:t>2</w:t>
      </w:r>
      <w:r w:rsidRPr="00EE1DA8">
        <w:rPr>
          <w:rFonts w:ascii="TyponineSans Reg" w:hAnsi="TyponineSans Reg"/>
          <w:szCs w:val="22"/>
        </w:rPr>
        <w:t>%  budući je Ustanova krajem prethodne godine zaprimila nekoliko vrijednosno značajnijih računa dobavljača za održavanje objekata i prijevoznih sredstava, kao i nabavku teretnog  vozila, klime u hotelima i  ostale dugotrajne imovine  što je uvjetovalo značajnije povećanje potraživanja prethodne godine</w:t>
      </w:r>
      <w:r w:rsidR="00B11984">
        <w:rPr>
          <w:rFonts w:ascii="TyponineSans Reg" w:hAnsi="TyponineSans Reg"/>
          <w:szCs w:val="22"/>
        </w:rPr>
        <w:t xml:space="preserve"> u odnosu na tekuću.</w:t>
      </w:r>
    </w:p>
    <w:p w14:paraId="000D9680" w14:textId="77777777" w:rsidR="00756FF4" w:rsidRPr="00FB4C39" w:rsidRDefault="00756FF4" w:rsidP="00756FF4">
      <w:pPr>
        <w:jc w:val="both"/>
        <w:rPr>
          <w:rFonts w:ascii="TyponineSans Reg" w:hAnsi="TyponineSans Reg"/>
          <w:b/>
          <w:color w:val="0070C0"/>
          <w:szCs w:val="22"/>
        </w:rPr>
      </w:pPr>
    </w:p>
    <w:p w14:paraId="24536992" w14:textId="77777777" w:rsidR="00756FF4" w:rsidRPr="00EE1DA8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  <w:r w:rsidRPr="00EE1DA8">
        <w:rPr>
          <w:rFonts w:ascii="TyponineSans Reg" w:hAnsi="TyponineSans Reg"/>
          <w:b/>
          <w:sz w:val="24"/>
          <w:szCs w:val="24"/>
        </w:rPr>
        <w:t>Šifra 16</w:t>
      </w:r>
    </w:p>
    <w:p w14:paraId="2F05BAF1" w14:textId="77777777" w:rsidR="00756FF4" w:rsidRPr="00EE1DA8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  <w:r w:rsidRPr="00EE1DA8">
        <w:rPr>
          <w:rFonts w:ascii="TyponineSans Reg" w:hAnsi="TyponineSans Reg"/>
          <w:b/>
          <w:sz w:val="24"/>
          <w:szCs w:val="24"/>
        </w:rPr>
        <w:t>Potraživanja za prihode poslovanja</w:t>
      </w:r>
    </w:p>
    <w:p w14:paraId="09E179CF" w14:textId="77777777" w:rsidR="00756FF4" w:rsidRPr="00EE1DA8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</w:p>
    <w:p w14:paraId="2A0AADE7" w14:textId="77777777" w:rsidR="00756FF4" w:rsidRPr="00EE1DA8" w:rsidRDefault="00756FF4" w:rsidP="00756FF4">
      <w:pPr>
        <w:jc w:val="both"/>
        <w:rPr>
          <w:rFonts w:ascii="TyponineSans Reg" w:hAnsi="TyponineSans Reg"/>
          <w:szCs w:val="22"/>
        </w:rPr>
      </w:pPr>
      <w:r w:rsidRPr="00EE1DA8">
        <w:rPr>
          <w:rFonts w:ascii="TyponineSans Reg" w:hAnsi="TyponineSans Reg"/>
          <w:szCs w:val="22"/>
        </w:rPr>
        <w:t>Potraživanja za prihode poslovanja na dan 31.12.2024. godine ostvarena su u iznosu od 70.002,61 Eur i odnose se na:</w:t>
      </w:r>
    </w:p>
    <w:p w14:paraId="76BE3721" w14:textId="77777777" w:rsidR="00756FF4" w:rsidRPr="00EE1DA8" w:rsidRDefault="00756FF4" w:rsidP="00756FF4">
      <w:pPr>
        <w:numPr>
          <w:ilvl w:val="0"/>
          <w:numId w:val="20"/>
        </w:numPr>
        <w:jc w:val="both"/>
        <w:rPr>
          <w:rFonts w:ascii="TyponineSans Reg" w:hAnsi="TyponineSans Reg"/>
          <w:szCs w:val="22"/>
        </w:rPr>
      </w:pPr>
      <w:r w:rsidRPr="00EE1DA8">
        <w:rPr>
          <w:rFonts w:ascii="TyponineSans Reg" w:hAnsi="TyponineSans Reg"/>
          <w:szCs w:val="22"/>
        </w:rPr>
        <w:t>potraživanja za prihode od imovine u iznosu od 25.108,83 Eur</w:t>
      </w:r>
    </w:p>
    <w:p w14:paraId="7A55E060" w14:textId="77777777" w:rsidR="00756FF4" w:rsidRPr="00EE1DA8" w:rsidRDefault="00756FF4" w:rsidP="00756FF4">
      <w:pPr>
        <w:numPr>
          <w:ilvl w:val="0"/>
          <w:numId w:val="19"/>
        </w:numPr>
        <w:jc w:val="both"/>
        <w:rPr>
          <w:rFonts w:ascii="TyponineSans Reg" w:hAnsi="TyponineSans Reg"/>
          <w:szCs w:val="22"/>
        </w:rPr>
      </w:pPr>
      <w:r w:rsidRPr="00EE1DA8">
        <w:rPr>
          <w:rFonts w:ascii="TyponineSans Reg" w:hAnsi="TyponineSans Reg"/>
          <w:szCs w:val="22"/>
        </w:rPr>
        <w:t>potraživanja za prihode od prodaje proizvoda i roba te pruženih usluga u iznosu od 81.430,29 Eur</w:t>
      </w:r>
    </w:p>
    <w:p w14:paraId="4B8DB896" w14:textId="77777777" w:rsidR="00756FF4" w:rsidRPr="00EE1DA8" w:rsidRDefault="00756FF4" w:rsidP="00756FF4">
      <w:pPr>
        <w:numPr>
          <w:ilvl w:val="0"/>
          <w:numId w:val="19"/>
        </w:numPr>
        <w:jc w:val="both"/>
        <w:rPr>
          <w:rFonts w:ascii="TyponineSans Reg" w:hAnsi="TyponineSans Reg"/>
          <w:szCs w:val="22"/>
        </w:rPr>
      </w:pPr>
      <w:r w:rsidRPr="00EE1DA8">
        <w:rPr>
          <w:rFonts w:ascii="TyponineSans Reg" w:hAnsi="TyponineSans Reg"/>
          <w:szCs w:val="22"/>
        </w:rPr>
        <w:t>Potraživanja za ostale prihode  od 5.143,60 Eur</w:t>
      </w:r>
    </w:p>
    <w:p w14:paraId="16EF3A1F" w14:textId="77777777" w:rsidR="00756FF4" w:rsidRPr="00EE1DA8" w:rsidRDefault="00756FF4" w:rsidP="00756FF4">
      <w:pPr>
        <w:numPr>
          <w:ilvl w:val="0"/>
          <w:numId w:val="19"/>
        </w:numPr>
        <w:jc w:val="both"/>
        <w:rPr>
          <w:rFonts w:ascii="TyponineSans Reg" w:hAnsi="TyponineSans Reg"/>
          <w:szCs w:val="22"/>
        </w:rPr>
      </w:pPr>
      <w:r w:rsidRPr="00EE1DA8">
        <w:rPr>
          <w:rFonts w:ascii="TyponineSans Reg" w:hAnsi="TyponineSans Reg"/>
          <w:szCs w:val="22"/>
        </w:rPr>
        <w:t xml:space="preserve">te proveden ispravak vrijednosti potraživanja u iznosu od 41.680,11 Eur </w:t>
      </w:r>
    </w:p>
    <w:p w14:paraId="729572C1" w14:textId="77777777" w:rsidR="00756FF4" w:rsidRPr="00EE1DA8" w:rsidRDefault="00756FF4" w:rsidP="00756FF4">
      <w:pPr>
        <w:jc w:val="both"/>
        <w:rPr>
          <w:rFonts w:ascii="TyponineSans Reg" w:hAnsi="TyponineSans Reg"/>
          <w:szCs w:val="22"/>
        </w:rPr>
      </w:pPr>
      <w:r w:rsidRPr="00EE1DA8">
        <w:rPr>
          <w:rFonts w:ascii="TyponineSans Reg" w:hAnsi="TyponineSans Reg"/>
          <w:szCs w:val="22"/>
        </w:rPr>
        <w:t xml:space="preserve">Ukupna potraživanja od kupaca evidentirana u okviru skupine konta 16 manja su u odnosu na prethodnu godinu za 33,50% prije svega zbog bolje naplativosti dospjelih potraživanja po ispostavljenim izlaznim računima. </w:t>
      </w:r>
    </w:p>
    <w:p w14:paraId="6A60387E" w14:textId="77777777" w:rsidR="00756FF4" w:rsidRPr="00EE1DA8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</w:p>
    <w:p w14:paraId="086426A6" w14:textId="77777777" w:rsidR="00756FF4" w:rsidRPr="00FB4C39" w:rsidRDefault="00756FF4" w:rsidP="00756FF4">
      <w:pPr>
        <w:jc w:val="both"/>
        <w:rPr>
          <w:rFonts w:ascii="TyponineSans Reg" w:hAnsi="TyponineSans Reg"/>
          <w:b/>
          <w:color w:val="0070C0"/>
          <w:sz w:val="24"/>
          <w:szCs w:val="24"/>
        </w:rPr>
      </w:pPr>
    </w:p>
    <w:p w14:paraId="052B5EDD" w14:textId="77777777" w:rsidR="00756FF4" w:rsidRPr="00FB4C39" w:rsidRDefault="00756FF4" w:rsidP="00756FF4">
      <w:pPr>
        <w:jc w:val="both"/>
        <w:rPr>
          <w:rFonts w:ascii="TyponineSans Reg" w:hAnsi="TyponineSans Reg"/>
          <w:b/>
          <w:color w:val="0070C0"/>
          <w:sz w:val="24"/>
          <w:szCs w:val="24"/>
        </w:rPr>
      </w:pPr>
    </w:p>
    <w:p w14:paraId="6BE2EC5F" w14:textId="77777777" w:rsidR="00756FF4" w:rsidRPr="00395CE6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  <w:r w:rsidRPr="00395CE6">
        <w:rPr>
          <w:rFonts w:ascii="TyponineSans Reg" w:hAnsi="TyponineSans Reg"/>
          <w:b/>
          <w:sz w:val="24"/>
          <w:szCs w:val="24"/>
        </w:rPr>
        <w:t>Šifra 17</w:t>
      </w:r>
    </w:p>
    <w:p w14:paraId="7B92D92A" w14:textId="77777777" w:rsidR="00756FF4" w:rsidRPr="00395CE6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  <w:r w:rsidRPr="00395CE6">
        <w:rPr>
          <w:rFonts w:ascii="TyponineSans Reg" w:hAnsi="TyponineSans Reg"/>
          <w:b/>
          <w:sz w:val="24"/>
          <w:szCs w:val="24"/>
        </w:rPr>
        <w:t>Potraživanja od prodaje nefinancijske imovine</w:t>
      </w:r>
    </w:p>
    <w:p w14:paraId="4BA22CBF" w14:textId="77777777" w:rsidR="00756FF4" w:rsidRPr="00395CE6" w:rsidRDefault="00756FF4" w:rsidP="00756FF4">
      <w:pPr>
        <w:jc w:val="both"/>
        <w:rPr>
          <w:rFonts w:ascii="TyponineSans Reg" w:hAnsi="TyponineSans Reg"/>
          <w:sz w:val="24"/>
          <w:szCs w:val="24"/>
        </w:rPr>
      </w:pPr>
    </w:p>
    <w:p w14:paraId="279B8B68" w14:textId="77777777" w:rsidR="00756FF4" w:rsidRPr="00395CE6" w:rsidRDefault="00756FF4" w:rsidP="00756FF4">
      <w:pPr>
        <w:jc w:val="both"/>
        <w:rPr>
          <w:rFonts w:ascii="TyponineSans Reg" w:hAnsi="TyponineSans Reg"/>
          <w:szCs w:val="22"/>
        </w:rPr>
      </w:pPr>
      <w:r w:rsidRPr="00395CE6">
        <w:rPr>
          <w:rFonts w:ascii="TyponineSans Reg" w:hAnsi="TyponineSans Reg"/>
          <w:szCs w:val="22"/>
        </w:rPr>
        <w:t xml:space="preserve">U okviru konta 17 – Potraživanja od prodaje nefinancijske imovine iskazan je iznos od 40.295,23 Eur dok je u okviru pripadajućeg konta 97 – Obračunati prihodi od prodaje nefinancijske imovine iskazan iznos od  1.792,00 Eur. </w:t>
      </w:r>
    </w:p>
    <w:p w14:paraId="153FDD77" w14:textId="77777777" w:rsidR="00756FF4" w:rsidRPr="00395CE6" w:rsidRDefault="00756FF4" w:rsidP="00756FF4">
      <w:pPr>
        <w:jc w:val="both"/>
        <w:rPr>
          <w:rFonts w:ascii="TyponineSans Reg" w:hAnsi="TyponineSans Reg"/>
          <w:szCs w:val="22"/>
        </w:rPr>
      </w:pPr>
    </w:p>
    <w:p w14:paraId="4E1FD90C" w14:textId="77777777" w:rsidR="00756FF4" w:rsidRPr="00395CE6" w:rsidRDefault="00756FF4" w:rsidP="00756FF4">
      <w:pPr>
        <w:jc w:val="both"/>
        <w:rPr>
          <w:rFonts w:ascii="TyponineSans Reg" w:hAnsi="TyponineSans Reg"/>
          <w:szCs w:val="22"/>
        </w:rPr>
      </w:pPr>
      <w:r w:rsidRPr="00395CE6">
        <w:rPr>
          <w:rFonts w:ascii="TyponineSans Reg" w:hAnsi="TyponineSans Reg"/>
          <w:szCs w:val="22"/>
        </w:rPr>
        <w:t>Do razlike prikazanih iznosa potraživanja u okviru skupine konta 17 i skupine konta 97 došlo je iz razloga što je Ustanova do dana 31.12.2012. godine vodila knjige sukladno Pravilniku o računovodstvu neprofitnih organizacija te se ukupna potraživanja za prihode poslovanja iskazana na dan 31.12.202</w:t>
      </w:r>
      <w:r>
        <w:rPr>
          <w:rFonts w:ascii="TyponineSans Reg" w:hAnsi="TyponineSans Reg"/>
          <w:szCs w:val="22"/>
        </w:rPr>
        <w:t>4</w:t>
      </w:r>
      <w:r w:rsidRPr="00395CE6">
        <w:rPr>
          <w:rFonts w:ascii="TyponineSans Reg" w:hAnsi="TyponineSans Reg"/>
          <w:szCs w:val="22"/>
        </w:rPr>
        <w:t>. godine dijele na dio potraživanja obračunatih do 31.12.2012. godina, i na preostali dio potraživanja nastalih nakon 01.01.2013.g. odnosno od dana prelaska na vođenje knjigovodstva prema Pravilniku o proračunskom računovodstvu.</w:t>
      </w:r>
    </w:p>
    <w:p w14:paraId="36D691C1" w14:textId="77777777" w:rsidR="00756FF4" w:rsidRPr="00395CE6" w:rsidRDefault="00756FF4" w:rsidP="00756FF4">
      <w:pPr>
        <w:jc w:val="both"/>
        <w:rPr>
          <w:rFonts w:ascii="TyponineSans Reg" w:hAnsi="TyponineSans Reg"/>
          <w:szCs w:val="22"/>
        </w:rPr>
      </w:pPr>
    </w:p>
    <w:p w14:paraId="60A25E45" w14:textId="77777777" w:rsidR="00756FF4" w:rsidRPr="00395CE6" w:rsidRDefault="00756FF4" w:rsidP="00756FF4">
      <w:pPr>
        <w:jc w:val="both"/>
        <w:rPr>
          <w:rFonts w:ascii="TyponineSans Reg" w:hAnsi="TyponineSans Reg"/>
          <w:szCs w:val="22"/>
        </w:rPr>
      </w:pPr>
      <w:r w:rsidRPr="00395CE6">
        <w:rPr>
          <w:rFonts w:ascii="TyponineSans Reg" w:hAnsi="TyponineSans Reg"/>
          <w:szCs w:val="22"/>
        </w:rPr>
        <w:t xml:space="preserve">Sukladno Pravilniku o proračunskom računovodstvu prihodi za potraživanja nastali nakon 01.01.2013. godine knjiženi su na pripadajućim kontima razreda 9 i tek po naplati odnosno priljevu na žiro-račun iskazan je prihod na kontima razreda 7. </w:t>
      </w:r>
    </w:p>
    <w:p w14:paraId="50077001" w14:textId="77777777" w:rsidR="00756FF4" w:rsidRPr="00FB4C39" w:rsidRDefault="00756FF4" w:rsidP="00756FF4">
      <w:pPr>
        <w:jc w:val="both"/>
        <w:rPr>
          <w:rFonts w:ascii="TyponineSans Reg" w:hAnsi="TyponineSans Reg"/>
          <w:color w:val="0070C0"/>
          <w:szCs w:val="22"/>
        </w:rPr>
      </w:pPr>
    </w:p>
    <w:p w14:paraId="4860C8A1" w14:textId="77777777" w:rsidR="00756FF4" w:rsidRPr="00395CE6" w:rsidRDefault="00756FF4" w:rsidP="00756FF4">
      <w:pPr>
        <w:jc w:val="both"/>
        <w:rPr>
          <w:rFonts w:ascii="TyponineSans Reg" w:hAnsi="TyponineSans Reg"/>
          <w:szCs w:val="22"/>
        </w:rPr>
      </w:pPr>
      <w:r w:rsidRPr="00395CE6">
        <w:rPr>
          <w:rFonts w:ascii="TyponineSans Reg" w:hAnsi="TyponineSans Reg"/>
          <w:szCs w:val="22"/>
        </w:rPr>
        <w:t>Međutim, kako su, sukladno  Pravilniku neprofitnog računovodstva, potraživanja iz ranijih godina, već oprihodovana u godini nastanka ova potraživanja iskazna su samo na kontima razreda 17 bez prikazivanja obračunskih prihoda u razredu 9. Iz navedenog razloga iskazana potraživanja u okviru razreda 17 veća su od iskazanih obračunatih prihoda na kontima razreda 97 – obračunati prihodi poslovanja.</w:t>
      </w:r>
    </w:p>
    <w:p w14:paraId="43FDA267" w14:textId="77777777" w:rsidR="00756FF4" w:rsidRPr="00395CE6" w:rsidRDefault="00756FF4" w:rsidP="00756FF4">
      <w:pPr>
        <w:jc w:val="both"/>
        <w:rPr>
          <w:rFonts w:ascii="TyponineSans Reg" w:hAnsi="TyponineSans Reg"/>
          <w:szCs w:val="22"/>
        </w:rPr>
      </w:pPr>
    </w:p>
    <w:p w14:paraId="744C220E" w14:textId="77777777" w:rsidR="00756FF4" w:rsidRPr="00395CE6" w:rsidRDefault="00756FF4" w:rsidP="00756FF4">
      <w:pPr>
        <w:jc w:val="both"/>
        <w:rPr>
          <w:rFonts w:ascii="TyponineSans Reg" w:hAnsi="TyponineSans Reg"/>
          <w:szCs w:val="22"/>
        </w:rPr>
      </w:pPr>
      <w:r w:rsidRPr="00395CE6">
        <w:rPr>
          <w:rFonts w:ascii="TyponineSans Reg" w:hAnsi="TyponineSans Reg"/>
          <w:szCs w:val="22"/>
        </w:rPr>
        <w:t xml:space="preserve">Osim toga, budući da je Ustanova u sustavu PDV-a iznosi potraživanja u okviru razreda 17  uvećani su za iznos PDV-a u odnosu na obračunske prihode iskazane u okviru razreda 97. </w:t>
      </w:r>
    </w:p>
    <w:p w14:paraId="27C36EB8" w14:textId="77777777" w:rsidR="00756FF4" w:rsidRPr="00395CE6" w:rsidRDefault="00756FF4" w:rsidP="00756FF4">
      <w:pPr>
        <w:jc w:val="both"/>
        <w:rPr>
          <w:rFonts w:ascii="TyponineSans Reg" w:hAnsi="TyponineSans Reg"/>
          <w:szCs w:val="22"/>
        </w:rPr>
      </w:pPr>
    </w:p>
    <w:p w14:paraId="0F7B5799" w14:textId="77777777" w:rsidR="00756FF4" w:rsidRDefault="00756FF4" w:rsidP="00756FF4">
      <w:pPr>
        <w:jc w:val="both"/>
        <w:rPr>
          <w:rFonts w:ascii="TyponineSans Reg" w:hAnsi="TyponineSans Reg"/>
          <w:color w:val="0070C0"/>
          <w:szCs w:val="22"/>
        </w:rPr>
      </w:pPr>
    </w:p>
    <w:p w14:paraId="04C47D9D" w14:textId="77777777" w:rsidR="00BB1F93" w:rsidRPr="00FB4C39" w:rsidRDefault="00BB1F93" w:rsidP="00756FF4">
      <w:pPr>
        <w:jc w:val="both"/>
        <w:rPr>
          <w:rFonts w:ascii="TyponineSans Reg" w:hAnsi="TyponineSans Reg"/>
          <w:color w:val="0070C0"/>
          <w:szCs w:val="22"/>
        </w:rPr>
      </w:pPr>
    </w:p>
    <w:p w14:paraId="09DC3864" w14:textId="77777777" w:rsidR="00756FF4" w:rsidRPr="0094297C" w:rsidRDefault="00756FF4" w:rsidP="00756FF4">
      <w:pPr>
        <w:jc w:val="both"/>
        <w:rPr>
          <w:rFonts w:ascii="TyponineSans Reg" w:hAnsi="TyponineSans Reg"/>
          <w:szCs w:val="22"/>
        </w:rPr>
      </w:pPr>
      <w:r w:rsidRPr="0094297C">
        <w:rPr>
          <w:rFonts w:ascii="TyponineSans Reg" w:hAnsi="TyponineSans Reg"/>
          <w:szCs w:val="22"/>
        </w:rPr>
        <w:lastRenderedPageBreak/>
        <w:t>Pregled potraživanja na kontima razreda 17 iskazan je u slijedećoj tablici:</w:t>
      </w:r>
    </w:p>
    <w:p w14:paraId="606C0375" w14:textId="77777777" w:rsidR="00756FF4" w:rsidRDefault="00756FF4" w:rsidP="00756FF4">
      <w:pPr>
        <w:jc w:val="both"/>
        <w:rPr>
          <w:rFonts w:ascii="TyponineSans Reg" w:hAnsi="TyponineSans Reg"/>
          <w:color w:val="0070C0"/>
          <w:szCs w:val="22"/>
        </w:rPr>
      </w:pPr>
    </w:p>
    <w:p w14:paraId="2ACD8303" w14:textId="77777777" w:rsidR="00756FF4" w:rsidRDefault="00756FF4" w:rsidP="00756FF4">
      <w:pPr>
        <w:jc w:val="both"/>
        <w:rPr>
          <w:rFonts w:ascii="TyponineSans Reg" w:hAnsi="TyponineSans Reg"/>
          <w:color w:val="0070C0"/>
          <w:szCs w:val="22"/>
        </w:rPr>
      </w:pPr>
      <w:r w:rsidRPr="0094297C">
        <w:drawing>
          <wp:anchor distT="0" distB="0" distL="114300" distR="114300" simplePos="0" relativeHeight="251673600" behindDoc="0" locked="0" layoutInCell="1" allowOverlap="1" wp14:anchorId="36A8B6C4" wp14:editId="5A975D93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5324475" cy="1971675"/>
            <wp:effectExtent l="0" t="0" r="9525" b="9525"/>
            <wp:wrapSquare wrapText="bothSides"/>
            <wp:docPr id="16058788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27C5F6" w14:textId="77777777" w:rsidR="00756FF4" w:rsidRPr="00FB4C39" w:rsidRDefault="00756FF4" w:rsidP="00756FF4">
      <w:pPr>
        <w:jc w:val="both"/>
        <w:rPr>
          <w:rFonts w:ascii="TyponineSans Reg" w:hAnsi="TyponineSans Reg"/>
          <w:color w:val="0070C0"/>
          <w:szCs w:val="22"/>
        </w:rPr>
      </w:pPr>
    </w:p>
    <w:p w14:paraId="66E8279E" w14:textId="77777777" w:rsidR="00BB1F93" w:rsidRDefault="00BB1F93" w:rsidP="00756FF4">
      <w:pPr>
        <w:jc w:val="both"/>
        <w:rPr>
          <w:rFonts w:ascii="TyponineSans Reg" w:hAnsi="TyponineSans Reg"/>
          <w:bCs/>
          <w:szCs w:val="22"/>
        </w:rPr>
      </w:pPr>
    </w:p>
    <w:p w14:paraId="2F9BB299" w14:textId="77777777" w:rsidR="00BB1F93" w:rsidRDefault="00BB1F93" w:rsidP="00756FF4">
      <w:pPr>
        <w:jc w:val="both"/>
        <w:rPr>
          <w:rFonts w:ascii="TyponineSans Reg" w:hAnsi="TyponineSans Reg"/>
          <w:bCs/>
          <w:szCs w:val="22"/>
        </w:rPr>
      </w:pPr>
    </w:p>
    <w:p w14:paraId="64163E88" w14:textId="77777777" w:rsidR="00BB1F93" w:rsidRDefault="00BB1F93" w:rsidP="00756FF4">
      <w:pPr>
        <w:jc w:val="both"/>
        <w:rPr>
          <w:rFonts w:ascii="TyponineSans Reg" w:hAnsi="TyponineSans Reg"/>
          <w:bCs/>
          <w:szCs w:val="22"/>
        </w:rPr>
      </w:pPr>
    </w:p>
    <w:p w14:paraId="2A551D79" w14:textId="77777777" w:rsidR="00BB1F93" w:rsidRDefault="00BB1F93" w:rsidP="00756FF4">
      <w:pPr>
        <w:jc w:val="both"/>
        <w:rPr>
          <w:rFonts w:ascii="TyponineSans Reg" w:hAnsi="TyponineSans Reg"/>
          <w:bCs/>
          <w:szCs w:val="22"/>
        </w:rPr>
      </w:pPr>
    </w:p>
    <w:p w14:paraId="4469FD9A" w14:textId="77777777" w:rsidR="00BB1F93" w:rsidRDefault="00BB1F93" w:rsidP="00756FF4">
      <w:pPr>
        <w:jc w:val="both"/>
        <w:rPr>
          <w:rFonts w:ascii="TyponineSans Reg" w:hAnsi="TyponineSans Reg"/>
          <w:bCs/>
          <w:szCs w:val="22"/>
        </w:rPr>
      </w:pPr>
    </w:p>
    <w:p w14:paraId="05611A77" w14:textId="77777777" w:rsidR="00BB1F93" w:rsidRDefault="00BB1F93" w:rsidP="00756FF4">
      <w:pPr>
        <w:jc w:val="both"/>
        <w:rPr>
          <w:rFonts w:ascii="TyponineSans Reg" w:hAnsi="TyponineSans Reg"/>
          <w:bCs/>
          <w:szCs w:val="22"/>
        </w:rPr>
      </w:pPr>
    </w:p>
    <w:p w14:paraId="4B82F313" w14:textId="77777777" w:rsidR="00BB1F93" w:rsidRDefault="00BB1F93" w:rsidP="00756FF4">
      <w:pPr>
        <w:jc w:val="both"/>
        <w:rPr>
          <w:rFonts w:ascii="TyponineSans Reg" w:hAnsi="TyponineSans Reg"/>
          <w:bCs/>
          <w:szCs w:val="22"/>
        </w:rPr>
      </w:pPr>
    </w:p>
    <w:p w14:paraId="086F807A" w14:textId="77777777" w:rsidR="00BB1F93" w:rsidRDefault="00BB1F93" w:rsidP="00756FF4">
      <w:pPr>
        <w:jc w:val="both"/>
        <w:rPr>
          <w:rFonts w:ascii="TyponineSans Reg" w:hAnsi="TyponineSans Reg"/>
          <w:bCs/>
          <w:szCs w:val="22"/>
        </w:rPr>
      </w:pPr>
    </w:p>
    <w:p w14:paraId="7D9DAB17" w14:textId="77777777" w:rsidR="00BB1F93" w:rsidRDefault="00BB1F93" w:rsidP="00756FF4">
      <w:pPr>
        <w:jc w:val="both"/>
        <w:rPr>
          <w:rFonts w:ascii="TyponineSans Reg" w:hAnsi="TyponineSans Reg"/>
          <w:bCs/>
          <w:szCs w:val="22"/>
        </w:rPr>
      </w:pPr>
    </w:p>
    <w:p w14:paraId="7F202089" w14:textId="77777777" w:rsidR="00BB1F93" w:rsidRDefault="00BB1F93" w:rsidP="00756FF4">
      <w:pPr>
        <w:jc w:val="both"/>
        <w:rPr>
          <w:rFonts w:ascii="TyponineSans Reg" w:hAnsi="TyponineSans Reg"/>
          <w:bCs/>
          <w:szCs w:val="22"/>
        </w:rPr>
      </w:pPr>
    </w:p>
    <w:p w14:paraId="58ADA858" w14:textId="77777777" w:rsidR="00BB1F93" w:rsidRDefault="00BB1F93" w:rsidP="00756FF4">
      <w:pPr>
        <w:jc w:val="both"/>
        <w:rPr>
          <w:rFonts w:ascii="TyponineSans Reg" w:hAnsi="TyponineSans Reg"/>
          <w:bCs/>
          <w:szCs w:val="22"/>
        </w:rPr>
      </w:pPr>
    </w:p>
    <w:p w14:paraId="75E226DC" w14:textId="0E8D2ABF" w:rsidR="00756FF4" w:rsidRPr="0094297C" w:rsidRDefault="00756FF4" w:rsidP="00756FF4">
      <w:pPr>
        <w:jc w:val="both"/>
        <w:rPr>
          <w:rFonts w:ascii="TyponineSans Reg" w:hAnsi="TyponineSans Reg"/>
          <w:bCs/>
          <w:szCs w:val="22"/>
        </w:rPr>
      </w:pPr>
      <w:r w:rsidRPr="0094297C">
        <w:rPr>
          <w:rFonts w:ascii="TyponineSans Reg" w:hAnsi="TyponineSans Reg"/>
          <w:bCs/>
          <w:szCs w:val="22"/>
        </w:rPr>
        <w:t xml:space="preserve">U okviru skupine konta 16 nije iskazana razlika u iznosu potraživanja na skupini konta klase 1 i klase 9 kao što je to slučaj u okviru skupine konta 17 budući da u okviru potraživanja evidentiranih na skupini konta 16 nije preostalo nenaplaćenih potraživanja iz razdoblja koja su prethodila 2013. godini. </w:t>
      </w:r>
    </w:p>
    <w:p w14:paraId="7FF9C479" w14:textId="77777777" w:rsidR="00756FF4" w:rsidRPr="0094297C" w:rsidRDefault="00756FF4" w:rsidP="00756FF4">
      <w:pPr>
        <w:jc w:val="both"/>
        <w:rPr>
          <w:rFonts w:ascii="TyponineSans Reg" w:hAnsi="TyponineSans Reg"/>
          <w:bCs/>
          <w:szCs w:val="22"/>
        </w:rPr>
      </w:pPr>
    </w:p>
    <w:p w14:paraId="2BF34E38" w14:textId="77777777" w:rsidR="00756FF4" w:rsidRPr="0094297C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  <w:r w:rsidRPr="0094297C">
        <w:rPr>
          <w:rFonts w:ascii="TyponineSans Reg" w:hAnsi="TyponineSans Reg"/>
          <w:b/>
          <w:sz w:val="24"/>
          <w:szCs w:val="24"/>
        </w:rPr>
        <w:t>Šifra 19</w:t>
      </w:r>
    </w:p>
    <w:p w14:paraId="300C825A" w14:textId="77777777" w:rsidR="00756FF4" w:rsidRPr="0094297C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  <w:r w:rsidRPr="0094297C">
        <w:rPr>
          <w:rFonts w:ascii="TyponineSans Reg" w:hAnsi="TyponineSans Reg"/>
          <w:b/>
          <w:sz w:val="24"/>
          <w:szCs w:val="24"/>
        </w:rPr>
        <w:t xml:space="preserve">Rashodi budućih razdoblja </w:t>
      </w:r>
    </w:p>
    <w:p w14:paraId="6AF17F86" w14:textId="77777777" w:rsidR="00756FF4" w:rsidRPr="0094297C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</w:p>
    <w:p w14:paraId="4DB626CC" w14:textId="77777777" w:rsidR="00756FF4" w:rsidRPr="0094297C" w:rsidRDefault="00756FF4" w:rsidP="00756FF4">
      <w:pPr>
        <w:jc w:val="both"/>
        <w:rPr>
          <w:rFonts w:ascii="TyponineSans Reg" w:hAnsi="TyponineSans Reg"/>
          <w:szCs w:val="22"/>
        </w:rPr>
      </w:pPr>
      <w:r w:rsidRPr="0094297C">
        <w:rPr>
          <w:rFonts w:ascii="TyponineSans Reg" w:hAnsi="TyponineSans Reg"/>
          <w:szCs w:val="22"/>
        </w:rPr>
        <w:t xml:space="preserve">Na kontima skupine 19 </w:t>
      </w:r>
      <w:r w:rsidRPr="0094297C">
        <w:rPr>
          <w:rFonts w:ascii="TyponineSans Reg" w:hAnsi="TyponineSans Reg"/>
          <w:b/>
          <w:szCs w:val="22"/>
        </w:rPr>
        <w:t xml:space="preserve"> </w:t>
      </w:r>
      <w:r w:rsidRPr="0094297C">
        <w:rPr>
          <w:rFonts w:ascii="TyponineSans Reg" w:hAnsi="TyponineSans Reg"/>
          <w:szCs w:val="22"/>
        </w:rPr>
        <w:t>iskazana je neotpisana vrijednost one dugotrajne imovine Ustanove za čiju nabavnu vrijednost nije prilikom nabavke terećen poslovni rezultat Ustanove, a detaljnije o  tome pisano je u prethodnom dijelu Bilješki o Izvještaju o prihodima i rashodima vezano za šifru obrasca 9222-9221.</w:t>
      </w:r>
    </w:p>
    <w:p w14:paraId="5FFB4855" w14:textId="77777777" w:rsidR="00756FF4" w:rsidRPr="0094297C" w:rsidRDefault="00756FF4" w:rsidP="00756FF4">
      <w:pPr>
        <w:jc w:val="both"/>
        <w:rPr>
          <w:rFonts w:ascii="TyponineSans Reg" w:hAnsi="TyponineSans Reg"/>
          <w:sz w:val="24"/>
          <w:szCs w:val="24"/>
        </w:rPr>
      </w:pPr>
    </w:p>
    <w:p w14:paraId="4612D81E" w14:textId="77777777" w:rsidR="00756FF4" w:rsidRPr="00FB4C39" w:rsidRDefault="00756FF4" w:rsidP="00756FF4">
      <w:pPr>
        <w:jc w:val="both"/>
        <w:rPr>
          <w:rFonts w:ascii="TyponineSans Reg" w:hAnsi="TyponineSans Reg"/>
          <w:b/>
          <w:color w:val="0070C0"/>
          <w:sz w:val="24"/>
          <w:szCs w:val="24"/>
        </w:rPr>
      </w:pPr>
    </w:p>
    <w:p w14:paraId="5BF9DEAC" w14:textId="1C6AD7F0" w:rsidR="00756FF4" w:rsidRPr="007E3127" w:rsidRDefault="00756FF4" w:rsidP="00756FF4">
      <w:pPr>
        <w:jc w:val="both"/>
        <w:rPr>
          <w:rFonts w:ascii="TyponineSans Reg" w:hAnsi="TyponineSans Reg"/>
          <w:b/>
          <w:color w:val="000000" w:themeColor="text1"/>
          <w:sz w:val="26"/>
          <w:szCs w:val="26"/>
        </w:rPr>
      </w:pPr>
      <w:r w:rsidRPr="007E3127">
        <w:rPr>
          <w:rFonts w:ascii="TyponineSans Reg" w:hAnsi="TyponineSans Reg"/>
          <w:b/>
          <w:color w:val="000000" w:themeColor="text1"/>
          <w:sz w:val="26"/>
          <w:szCs w:val="26"/>
        </w:rPr>
        <w:t xml:space="preserve">Bilješka br. </w:t>
      </w:r>
      <w:r>
        <w:rPr>
          <w:rFonts w:ascii="TyponineSans Reg" w:hAnsi="TyponineSans Reg"/>
          <w:b/>
          <w:color w:val="000000" w:themeColor="text1"/>
          <w:sz w:val="26"/>
          <w:szCs w:val="26"/>
        </w:rPr>
        <w:t>3</w:t>
      </w:r>
      <w:r w:rsidRPr="007E3127">
        <w:rPr>
          <w:rFonts w:ascii="TyponineSans Reg" w:hAnsi="TyponineSans Reg"/>
          <w:b/>
          <w:color w:val="000000" w:themeColor="text1"/>
          <w:sz w:val="26"/>
          <w:szCs w:val="26"/>
        </w:rPr>
        <w:t>.2. – Obveze Ustanove</w:t>
      </w:r>
    </w:p>
    <w:p w14:paraId="1BE05C48" w14:textId="77777777" w:rsidR="00756FF4" w:rsidRPr="007E3127" w:rsidRDefault="00756FF4" w:rsidP="00756FF4">
      <w:pPr>
        <w:jc w:val="both"/>
        <w:rPr>
          <w:rFonts w:ascii="TyponineSans Reg" w:hAnsi="TyponineSans Reg"/>
          <w:b/>
          <w:color w:val="000000" w:themeColor="text1"/>
          <w:sz w:val="26"/>
          <w:szCs w:val="26"/>
        </w:rPr>
      </w:pPr>
    </w:p>
    <w:p w14:paraId="0940E9EF" w14:textId="77777777" w:rsidR="00756FF4" w:rsidRPr="007E3127" w:rsidRDefault="00756FF4" w:rsidP="00756FF4">
      <w:pPr>
        <w:jc w:val="both"/>
        <w:rPr>
          <w:rFonts w:ascii="TyponineSans Reg" w:hAnsi="TyponineSans Reg"/>
          <w:b/>
          <w:color w:val="000000" w:themeColor="text1"/>
          <w:sz w:val="24"/>
          <w:szCs w:val="24"/>
        </w:rPr>
      </w:pPr>
      <w:r w:rsidRPr="007E3127">
        <w:rPr>
          <w:rFonts w:ascii="TyponineSans Reg" w:hAnsi="TyponineSans Reg"/>
          <w:b/>
          <w:color w:val="000000" w:themeColor="text1"/>
          <w:sz w:val="24"/>
          <w:szCs w:val="24"/>
        </w:rPr>
        <w:t>Šifra 23</w:t>
      </w:r>
    </w:p>
    <w:p w14:paraId="1A5B3D02" w14:textId="77777777" w:rsidR="00756FF4" w:rsidRPr="007E3127" w:rsidRDefault="00756FF4" w:rsidP="00756FF4">
      <w:pPr>
        <w:jc w:val="both"/>
        <w:rPr>
          <w:rFonts w:ascii="TyponineSans Reg" w:hAnsi="TyponineSans Reg"/>
          <w:b/>
          <w:color w:val="000000" w:themeColor="text1"/>
          <w:sz w:val="24"/>
          <w:szCs w:val="24"/>
        </w:rPr>
      </w:pPr>
      <w:r w:rsidRPr="007E3127">
        <w:rPr>
          <w:rFonts w:ascii="TyponineSans Reg" w:hAnsi="TyponineSans Reg"/>
          <w:b/>
          <w:color w:val="000000" w:themeColor="text1"/>
          <w:sz w:val="24"/>
          <w:szCs w:val="24"/>
        </w:rPr>
        <w:t>Obveze za rashode poslovanja</w:t>
      </w:r>
    </w:p>
    <w:p w14:paraId="39403EA2" w14:textId="77777777" w:rsidR="00756FF4" w:rsidRPr="007E3127" w:rsidRDefault="00756FF4" w:rsidP="00756FF4">
      <w:pPr>
        <w:jc w:val="both"/>
        <w:rPr>
          <w:rFonts w:ascii="TyponineSans Reg" w:hAnsi="TyponineSans Reg"/>
          <w:b/>
          <w:color w:val="000000" w:themeColor="text1"/>
          <w:sz w:val="24"/>
          <w:szCs w:val="24"/>
        </w:rPr>
      </w:pPr>
    </w:p>
    <w:p w14:paraId="70AF9C93" w14:textId="77777777" w:rsidR="00756FF4" w:rsidRPr="007E3127" w:rsidRDefault="00756FF4" w:rsidP="00756FF4">
      <w:pPr>
        <w:jc w:val="both"/>
        <w:rPr>
          <w:rFonts w:ascii="TyponineSans Reg" w:hAnsi="TyponineSans Reg"/>
          <w:color w:val="000000" w:themeColor="text1"/>
          <w:szCs w:val="22"/>
        </w:rPr>
      </w:pPr>
      <w:r w:rsidRPr="007E3127">
        <w:rPr>
          <w:rFonts w:ascii="TyponineSans Reg" w:hAnsi="TyponineSans Reg"/>
          <w:color w:val="000000" w:themeColor="text1"/>
          <w:szCs w:val="22"/>
        </w:rPr>
        <w:t>Ukupne obveze za rashode poslovanja na dan 31.12.2024. iznosile su ukupno 1.236.742.53 Eur, a odnose se na slijedeće stavke:</w:t>
      </w:r>
    </w:p>
    <w:p w14:paraId="1C16976F" w14:textId="77777777" w:rsidR="00756FF4" w:rsidRPr="007E3127" w:rsidRDefault="00756FF4" w:rsidP="00756FF4">
      <w:pPr>
        <w:numPr>
          <w:ilvl w:val="0"/>
          <w:numId w:val="23"/>
        </w:numPr>
        <w:jc w:val="both"/>
        <w:rPr>
          <w:rFonts w:ascii="TyponineSans Reg" w:hAnsi="TyponineSans Reg"/>
          <w:color w:val="000000" w:themeColor="text1"/>
          <w:szCs w:val="22"/>
        </w:rPr>
      </w:pPr>
      <w:r w:rsidRPr="007E3127">
        <w:rPr>
          <w:rFonts w:ascii="TyponineSans Reg" w:hAnsi="TyponineSans Reg"/>
          <w:color w:val="000000" w:themeColor="text1"/>
          <w:szCs w:val="22"/>
        </w:rPr>
        <w:t>Obveze za zaposlene odnosno obveze za obračunatu plaću od prosinca 2024. godine koja će biti  isplaćena u siječnju 2025. godine u iznosu od 651.301,49 Eur, a veće su za 33 %  u odnosu na prethodnu godinu zbog povećanog broja djelatnika kao i povećanja osnovica za isplatu plaća</w:t>
      </w:r>
    </w:p>
    <w:p w14:paraId="29BC43AF" w14:textId="3B43891F" w:rsidR="00756FF4" w:rsidRPr="002873F0" w:rsidRDefault="00756FF4" w:rsidP="002873F0">
      <w:pPr>
        <w:pStyle w:val="ListParagraph"/>
        <w:numPr>
          <w:ilvl w:val="0"/>
          <w:numId w:val="23"/>
        </w:numPr>
        <w:jc w:val="both"/>
        <w:rPr>
          <w:rFonts w:ascii="TyponineSans Reg" w:hAnsi="TyponineSans Reg"/>
          <w:color w:val="00B050"/>
          <w:szCs w:val="22"/>
        </w:rPr>
      </w:pPr>
      <w:r w:rsidRPr="002873F0">
        <w:rPr>
          <w:rFonts w:ascii="TyponineSans Reg" w:hAnsi="TyponineSans Reg"/>
          <w:szCs w:val="22"/>
        </w:rPr>
        <w:t xml:space="preserve">Obveze </w:t>
      </w:r>
      <w:r w:rsidRPr="002873F0">
        <w:rPr>
          <w:rFonts w:ascii="TyponineSans Reg" w:hAnsi="TyponineSans Reg"/>
          <w:color w:val="000000" w:themeColor="text1"/>
          <w:szCs w:val="22"/>
        </w:rPr>
        <w:t xml:space="preserve">za materijalne rashode u iznosu od 232.979,51 Eur koje su za 38,90% manje u odnosu na prethodnu godinu, a najvećim dijelom su rezultat smanjenja obveza za usluge tekućeg i investicijskog održavanja koje su smanjene za 83,23% u odnosu na bilancu prethodne godine </w:t>
      </w:r>
      <w:r w:rsidR="00BF7E6F" w:rsidRPr="002873F0">
        <w:rPr>
          <w:rFonts w:ascii="TyponineSans Reg" w:hAnsi="TyponineSans Reg"/>
          <w:color w:val="000000" w:themeColor="text1"/>
          <w:szCs w:val="22"/>
        </w:rPr>
        <w:t>budući</w:t>
      </w:r>
      <w:r w:rsidRPr="002873F0">
        <w:rPr>
          <w:rFonts w:ascii="TyponineSans Reg" w:hAnsi="TyponineSans Reg"/>
          <w:color w:val="000000" w:themeColor="text1"/>
          <w:szCs w:val="22"/>
        </w:rPr>
        <w:t xml:space="preserve"> su krajem godine pristigli </w:t>
      </w:r>
      <w:r w:rsidR="00BF7E6F" w:rsidRPr="002873F0">
        <w:rPr>
          <w:rFonts w:ascii="TyponineSans Reg" w:hAnsi="TyponineSans Reg"/>
          <w:color w:val="000000" w:themeColor="text1"/>
          <w:szCs w:val="22"/>
        </w:rPr>
        <w:t xml:space="preserve">vrijednosno </w:t>
      </w:r>
      <w:r w:rsidRPr="002873F0">
        <w:rPr>
          <w:rFonts w:ascii="TyponineSans Reg" w:hAnsi="TyponineSans Reg"/>
          <w:color w:val="000000" w:themeColor="text1"/>
          <w:szCs w:val="22"/>
        </w:rPr>
        <w:t>značajni računi za održavanje prijevoznih sredstava u pomorskom prometu te održavanje građevinskih objekata odnosno hotela, vila, pomorskih molova i slično, a čije je dospijeće bilo u 2024. godini</w:t>
      </w:r>
    </w:p>
    <w:p w14:paraId="367D598E" w14:textId="77777777" w:rsidR="00756FF4" w:rsidRPr="00CA180F" w:rsidRDefault="00756FF4" w:rsidP="00756FF4">
      <w:pPr>
        <w:numPr>
          <w:ilvl w:val="0"/>
          <w:numId w:val="23"/>
        </w:numPr>
        <w:jc w:val="both"/>
        <w:rPr>
          <w:rFonts w:ascii="TyponineSans Reg" w:hAnsi="TyponineSans Reg"/>
          <w:szCs w:val="22"/>
        </w:rPr>
      </w:pPr>
      <w:r w:rsidRPr="00CA180F">
        <w:rPr>
          <w:rFonts w:ascii="TyponineSans Reg" w:hAnsi="TyponineSans Reg"/>
          <w:szCs w:val="22"/>
        </w:rPr>
        <w:t>Obveze za financijske rashode odnosno bankarske usluge i zatezne kamate iz odnosa sa dobavljačima u iznosu od 72,72 Eur</w:t>
      </w:r>
    </w:p>
    <w:p w14:paraId="01E17348" w14:textId="25E00249" w:rsidR="00756FF4" w:rsidRDefault="00756FF4" w:rsidP="00756FF4">
      <w:pPr>
        <w:pStyle w:val="ListParagraph"/>
        <w:numPr>
          <w:ilvl w:val="0"/>
          <w:numId w:val="45"/>
        </w:numPr>
        <w:jc w:val="both"/>
        <w:rPr>
          <w:rFonts w:ascii="TyponineSans Reg" w:hAnsi="TyponineSans Reg"/>
          <w:szCs w:val="22"/>
        </w:rPr>
      </w:pPr>
      <w:r w:rsidRPr="00CA180F">
        <w:rPr>
          <w:rFonts w:ascii="TyponineSans Reg" w:hAnsi="TyponineSans Reg"/>
          <w:szCs w:val="22"/>
        </w:rPr>
        <w:t>Ostale tekuće obveze u iznosu od 352.388,81 Eur koje su za 28,90 % manje u odnosu na prethodnu godinu kada su iznosile 495.808,82 Eur. Smanjenje ostalih tekućih obveza se najvećim dijelom odnosi na smanjenje obveza za primljene predujmove turističkih agencija i individualnih gostiju koje su na dan 31.12.2024.g. iznosile 335.100,95 Eur i kao takve smanjile se za 22,47% u odnosu na prethodnu godinu</w:t>
      </w:r>
      <w:r w:rsidR="00BF7E6F">
        <w:rPr>
          <w:rFonts w:ascii="TyponineSans Reg" w:hAnsi="TyponineSans Reg"/>
          <w:szCs w:val="22"/>
        </w:rPr>
        <w:t xml:space="preserve"> kada su iznosile 432.244,19 Eur.</w:t>
      </w:r>
    </w:p>
    <w:p w14:paraId="41104AB4" w14:textId="77777777" w:rsidR="00756FF4" w:rsidRDefault="00756FF4" w:rsidP="00756FF4">
      <w:pPr>
        <w:pStyle w:val="ListParagraph"/>
        <w:ind w:left="720"/>
        <w:jc w:val="both"/>
        <w:rPr>
          <w:rFonts w:ascii="TyponineSans Reg" w:hAnsi="TyponineSans Reg"/>
          <w:szCs w:val="22"/>
        </w:rPr>
      </w:pPr>
    </w:p>
    <w:p w14:paraId="290EA20D" w14:textId="77777777" w:rsidR="00756FF4" w:rsidRDefault="00756FF4" w:rsidP="00756FF4">
      <w:pPr>
        <w:pStyle w:val="ListParagraph"/>
        <w:ind w:left="720"/>
        <w:jc w:val="both"/>
        <w:rPr>
          <w:rFonts w:ascii="TyponineSans Reg" w:hAnsi="TyponineSans Reg"/>
          <w:szCs w:val="22"/>
        </w:rPr>
      </w:pPr>
    </w:p>
    <w:p w14:paraId="7E6C22F6" w14:textId="77777777" w:rsidR="00BB1F93" w:rsidRPr="00CA180F" w:rsidRDefault="00BB1F93" w:rsidP="00756FF4">
      <w:pPr>
        <w:pStyle w:val="ListParagraph"/>
        <w:ind w:left="720"/>
        <w:jc w:val="both"/>
        <w:rPr>
          <w:rFonts w:ascii="TyponineSans Reg" w:hAnsi="TyponineSans Reg"/>
          <w:szCs w:val="22"/>
        </w:rPr>
      </w:pPr>
    </w:p>
    <w:p w14:paraId="316BA238" w14:textId="77777777" w:rsidR="00756FF4" w:rsidRPr="00CA180F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  <w:r w:rsidRPr="00CA180F">
        <w:rPr>
          <w:rFonts w:ascii="TyponineSans Reg" w:hAnsi="TyponineSans Reg"/>
          <w:b/>
          <w:sz w:val="24"/>
          <w:szCs w:val="24"/>
        </w:rPr>
        <w:lastRenderedPageBreak/>
        <w:t>Šifra 92211 / Šifra 92222</w:t>
      </w:r>
    </w:p>
    <w:p w14:paraId="093AFB7D" w14:textId="77777777" w:rsidR="00756FF4" w:rsidRPr="00CA180F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  <w:r w:rsidRPr="00CA180F">
        <w:rPr>
          <w:rFonts w:ascii="TyponineSans Reg" w:hAnsi="TyponineSans Reg"/>
          <w:b/>
          <w:sz w:val="24"/>
          <w:szCs w:val="24"/>
        </w:rPr>
        <w:t>Višak prihoda poslovanja /</w:t>
      </w:r>
    </w:p>
    <w:p w14:paraId="36CEA647" w14:textId="77777777" w:rsidR="00756FF4" w:rsidRPr="00CA180F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  <w:r w:rsidRPr="00CA180F">
        <w:rPr>
          <w:rFonts w:ascii="TyponineSans Reg" w:hAnsi="TyponineSans Reg"/>
          <w:b/>
          <w:sz w:val="24"/>
          <w:szCs w:val="24"/>
        </w:rPr>
        <w:t>Manjak prihoda od nefinancijske imovine</w:t>
      </w:r>
    </w:p>
    <w:p w14:paraId="30CDD0A7" w14:textId="77777777" w:rsidR="00756FF4" w:rsidRPr="00CA180F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</w:p>
    <w:p w14:paraId="62CA6EDB" w14:textId="77777777" w:rsidR="00756FF4" w:rsidRPr="00CA180F" w:rsidRDefault="00756FF4" w:rsidP="00756FF4">
      <w:pPr>
        <w:jc w:val="both"/>
        <w:rPr>
          <w:rFonts w:ascii="TyponineSans Reg" w:hAnsi="TyponineSans Reg"/>
          <w:szCs w:val="22"/>
        </w:rPr>
      </w:pPr>
      <w:r w:rsidRPr="00CA180F">
        <w:rPr>
          <w:rFonts w:ascii="TyponineSans Reg" w:hAnsi="TyponineSans Reg"/>
          <w:szCs w:val="22"/>
        </w:rPr>
        <w:t>Na dan 31.12.2024. godine Ustanova je ostvarila poslovni rezultat iskazan u slijedećoj tablici:</w:t>
      </w:r>
    </w:p>
    <w:p w14:paraId="0B0BBFBF" w14:textId="77777777" w:rsidR="00756FF4" w:rsidRPr="00CA180F" w:rsidRDefault="00756FF4" w:rsidP="00756FF4">
      <w:pPr>
        <w:jc w:val="both"/>
        <w:rPr>
          <w:rFonts w:ascii="TyponineSans Reg" w:hAnsi="TyponineSans Reg"/>
        </w:rPr>
      </w:pPr>
    </w:p>
    <w:p w14:paraId="5CC7C359" w14:textId="77777777" w:rsidR="00756FF4" w:rsidRPr="00CA180F" w:rsidRDefault="00756FF4" w:rsidP="00756FF4">
      <w:pPr>
        <w:jc w:val="both"/>
        <w:rPr>
          <w:rFonts w:ascii="TyponineSans Reg" w:hAnsi="TyponineSans Reg"/>
        </w:rPr>
      </w:pPr>
    </w:p>
    <w:p w14:paraId="769E19AD" w14:textId="77777777" w:rsidR="00756FF4" w:rsidRDefault="00756FF4" w:rsidP="00756FF4">
      <w:pPr>
        <w:jc w:val="both"/>
        <w:rPr>
          <w:rFonts w:ascii="TyponineSans Reg" w:hAnsi="TyponineSans Reg"/>
          <w:color w:val="0070C0"/>
        </w:rPr>
      </w:pPr>
      <w:r w:rsidRPr="00CA180F">
        <w:drawing>
          <wp:anchor distT="0" distB="0" distL="114300" distR="114300" simplePos="0" relativeHeight="251674624" behindDoc="0" locked="0" layoutInCell="1" allowOverlap="1" wp14:anchorId="7D51B976" wp14:editId="34173BE0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5457825" cy="6257925"/>
            <wp:effectExtent l="0" t="0" r="9525" b="9525"/>
            <wp:wrapSquare wrapText="bothSides"/>
            <wp:docPr id="18520951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4BF4B7" w14:textId="77777777" w:rsidR="00756FF4" w:rsidRPr="00FB4C39" w:rsidRDefault="00756FF4" w:rsidP="00756FF4">
      <w:pPr>
        <w:jc w:val="both"/>
        <w:rPr>
          <w:rFonts w:ascii="TyponineSans Reg" w:hAnsi="TyponineSans Reg"/>
          <w:color w:val="0070C0"/>
        </w:rPr>
      </w:pPr>
    </w:p>
    <w:p w14:paraId="5A6A7E10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519E49FC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6AFE3ED9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2E81863B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43DCA045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7006EF94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111F5A4B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3BCCD8ED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7ECD41A7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329D440E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3A86974C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0755579D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06F9138C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7EACE253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724A42E3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40B5B07F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6FECF636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6B1F622E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4970B211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63226176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157D51BF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6F4EEA4A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42BEA081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3D7E6356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36A85F62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238DBF71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6DA90D6B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5C2148DC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698B8F16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6FAB3E28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1ED793CD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7BEF746A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60F53001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547ACD23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105F2DE4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23E6876A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4DA591FC" w14:textId="77777777" w:rsidR="00BB1F93" w:rsidRDefault="00BB1F93" w:rsidP="00756FF4">
      <w:pPr>
        <w:jc w:val="both"/>
        <w:rPr>
          <w:rFonts w:ascii="TyponineSans Reg" w:hAnsi="TyponineSans Reg"/>
          <w:szCs w:val="22"/>
        </w:rPr>
      </w:pPr>
    </w:p>
    <w:p w14:paraId="3EF7D57D" w14:textId="5DE5A2DB" w:rsidR="00756FF4" w:rsidRPr="00CA180F" w:rsidRDefault="00756FF4" w:rsidP="00756FF4">
      <w:pPr>
        <w:jc w:val="both"/>
        <w:rPr>
          <w:rFonts w:ascii="TyponineSans Reg" w:hAnsi="TyponineSans Reg"/>
          <w:szCs w:val="22"/>
        </w:rPr>
      </w:pPr>
      <w:r w:rsidRPr="00CA180F">
        <w:rPr>
          <w:rFonts w:ascii="TyponineSans Reg" w:hAnsi="TyponineSans Reg"/>
          <w:szCs w:val="22"/>
        </w:rPr>
        <w:t>Tijekom godine ostvaren je manjak prihoda poslovanja od 1.196.981,32 Eur te manjak prihoda od nefinancijske imovine u iznosu od 320.126,36 Eur.</w:t>
      </w:r>
    </w:p>
    <w:p w14:paraId="44C6016A" w14:textId="77777777" w:rsidR="00756FF4" w:rsidRDefault="00756FF4" w:rsidP="00756FF4">
      <w:pPr>
        <w:jc w:val="both"/>
        <w:rPr>
          <w:rFonts w:ascii="TyponineSans Reg" w:hAnsi="TyponineSans Reg"/>
          <w:szCs w:val="22"/>
        </w:rPr>
      </w:pPr>
    </w:p>
    <w:p w14:paraId="63961597" w14:textId="77777777" w:rsidR="00BB1F93" w:rsidRPr="00CA180F" w:rsidRDefault="00BB1F93" w:rsidP="00756FF4">
      <w:pPr>
        <w:jc w:val="both"/>
        <w:rPr>
          <w:rFonts w:ascii="TyponineSans Reg" w:hAnsi="TyponineSans Reg"/>
          <w:szCs w:val="22"/>
        </w:rPr>
      </w:pPr>
    </w:p>
    <w:p w14:paraId="7B3113A6" w14:textId="77777777" w:rsidR="00756FF4" w:rsidRPr="00CA180F" w:rsidRDefault="00756FF4" w:rsidP="00756FF4">
      <w:pPr>
        <w:jc w:val="both"/>
        <w:rPr>
          <w:rFonts w:ascii="TyponineSans Reg" w:hAnsi="TyponineSans Reg"/>
          <w:szCs w:val="22"/>
        </w:rPr>
      </w:pPr>
      <w:r w:rsidRPr="00CA180F">
        <w:rPr>
          <w:rFonts w:ascii="TyponineSans Reg" w:hAnsi="TyponineSans Reg"/>
          <w:szCs w:val="22"/>
        </w:rPr>
        <w:t>Uz preneseni višak rezultata poslovanja iz prethodnih godina u iznosu od 4.792.652,52 Eur</w:t>
      </w:r>
      <w:r>
        <w:rPr>
          <w:rFonts w:ascii="TyponineSans Reg" w:hAnsi="TyponineSans Reg"/>
          <w:szCs w:val="22"/>
        </w:rPr>
        <w:t xml:space="preserve"> </w:t>
      </w:r>
      <w:r w:rsidRPr="00CA180F">
        <w:rPr>
          <w:rFonts w:ascii="TyponineSans Reg" w:hAnsi="TyponineSans Reg"/>
          <w:szCs w:val="22"/>
        </w:rPr>
        <w:t xml:space="preserve">te </w:t>
      </w:r>
      <w:r>
        <w:rPr>
          <w:rFonts w:ascii="TyponineSans Reg" w:hAnsi="TyponineSans Reg"/>
          <w:szCs w:val="22"/>
        </w:rPr>
        <w:t xml:space="preserve">provedena </w:t>
      </w:r>
      <w:r w:rsidRPr="00CA180F">
        <w:rPr>
          <w:rFonts w:ascii="TyponineSans Reg" w:hAnsi="TyponineSans Reg"/>
          <w:szCs w:val="22"/>
        </w:rPr>
        <w:t xml:space="preserve">knjiženja u tijeku godine na kontima skupine 922 u </w:t>
      </w:r>
      <w:r>
        <w:rPr>
          <w:rFonts w:ascii="TyponineSans Reg" w:hAnsi="TyponineSans Reg"/>
          <w:szCs w:val="22"/>
        </w:rPr>
        <w:t xml:space="preserve">korist Ustanove u </w:t>
      </w:r>
      <w:r w:rsidRPr="00CA180F">
        <w:rPr>
          <w:rFonts w:ascii="TyponineSans Reg" w:hAnsi="TyponineSans Reg"/>
          <w:szCs w:val="22"/>
        </w:rPr>
        <w:t xml:space="preserve">iznosu od 9.297,18 Eur,  o čemu je opširnije pisano u prethodnom dijelu Bilješki, </w:t>
      </w:r>
      <w:r>
        <w:rPr>
          <w:rFonts w:ascii="TyponineSans Reg" w:hAnsi="TyponineSans Reg"/>
          <w:szCs w:val="22"/>
        </w:rPr>
        <w:t xml:space="preserve">na dan 31.12.2024. godine </w:t>
      </w:r>
      <w:r w:rsidRPr="00CA180F">
        <w:rPr>
          <w:rFonts w:ascii="TyponineSans Reg" w:hAnsi="TyponineSans Reg"/>
          <w:szCs w:val="22"/>
        </w:rPr>
        <w:t xml:space="preserve"> iskazan je kumulirani višak prihoda od poslovanja</w:t>
      </w:r>
      <w:r>
        <w:rPr>
          <w:rFonts w:ascii="TyponineSans Reg" w:hAnsi="TyponineSans Reg"/>
          <w:szCs w:val="22"/>
        </w:rPr>
        <w:t>, a</w:t>
      </w:r>
      <w:r w:rsidRPr="00CA180F">
        <w:rPr>
          <w:rFonts w:ascii="TyponineSans Reg" w:hAnsi="TyponineSans Reg"/>
          <w:szCs w:val="22"/>
        </w:rPr>
        <w:t xml:space="preserve"> prije provedene kapitalne korekcije</w:t>
      </w:r>
      <w:r>
        <w:rPr>
          <w:rFonts w:ascii="TyponineSans Reg" w:hAnsi="TyponineSans Reg"/>
          <w:szCs w:val="22"/>
        </w:rPr>
        <w:t>,</w:t>
      </w:r>
      <w:r w:rsidRPr="00CA180F">
        <w:rPr>
          <w:rFonts w:ascii="TyponineSans Reg" w:hAnsi="TyponineSans Reg"/>
          <w:szCs w:val="22"/>
        </w:rPr>
        <w:t xml:space="preserve"> u iznosu od  3.604.968,38 Eur.</w:t>
      </w:r>
    </w:p>
    <w:p w14:paraId="24CBC6D6" w14:textId="77777777" w:rsidR="00756FF4" w:rsidRPr="00CA180F" w:rsidRDefault="00756FF4" w:rsidP="00756FF4">
      <w:pPr>
        <w:jc w:val="both"/>
        <w:rPr>
          <w:rFonts w:ascii="TyponineSans Reg" w:hAnsi="TyponineSans Reg"/>
          <w:szCs w:val="22"/>
        </w:rPr>
      </w:pPr>
      <w:r w:rsidRPr="00CA180F">
        <w:rPr>
          <w:rFonts w:ascii="TyponineSans Reg" w:hAnsi="TyponineSans Reg"/>
          <w:szCs w:val="22"/>
        </w:rPr>
        <w:lastRenderedPageBreak/>
        <w:t xml:space="preserve"> </w:t>
      </w:r>
    </w:p>
    <w:p w14:paraId="3897B937" w14:textId="77777777" w:rsidR="00756FF4" w:rsidRPr="004E6802" w:rsidRDefault="00756FF4" w:rsidP="00756FF4">
      <w:pPr>
        <w:jc w:val="both"/>
        <w:rPr>
          <w:rFonts w:ascii="TyponineSans Reg" w:hAnsi="TyponineSans Reg"/>
          <w:szCs w:val="22"/>
        </w:rPr>
      </w:pPr>
      <w:r w:rsidRPr="004E6802">
        <w:rPr>
          <w:rFonts w:ascii="TyponineSans Reg" w:hAnsi="TyponineSans Reg"/>
          <w:szCs w:val="22"/>
        </w:rPr>
        <w:t xml:space="preserve">Isto tako, uz preneseni manjak </w:t>
      </w:r>
      <w:r>
        <w:rPr>
          <w:rFonts w:ascii="TyponineSans Reg" w:hAnsi="TyponineSans Reg"/>
          <w:szCs w:val="22"/>
        </w:rPr>
        <w:t xml:space="preserve">prihoda od </w:t>
      </w:r>
      <w:r w:rsidRPr="004E6802">
        <w:rPr>
          <w:rFonts w:ascii="TyponineSans Reg" w:hAnsi="TyponineSans Reg"/>
          <w:szCs w:val="22"/>
        </w:rPr>
        <w:t xml:space="preserve">nefinancijske imovine iz prethodnih godina u iznosu od 9.543.459,29 Eur te </w:t>
      </w:r>
      <w:r>
        <w:rPr>
          <w:rFonts w:ascii="TyponineSans Reg" w:hAnsi="TyponineSans Reg"/>
          <w:szCs w:val="22"/>
        </w:rPr>
        <w:t xml:space="preserve">proknjižene </w:t>
      </w:r>
      <w:r w:rsidRPr="004E6802">
        <w:rPr>
          <w:rFonts w:ascii="TyponineSans Reg" w:hAnsi="TyponineSans Reg"/>
          <w:szCs w:val="22"/>
        </w:rPr>
        <w:t>vrijednosti obračunate amortizacije</w:t>
      </w:r>
      <w:r>
        <w:rPr>
          <w:rFonts w:ascii="TyponineSans Reg" w:hAnsi="TyponineSans Reg"/>
          <w:szCs w:val="22"/>
        </w:rPr>
        <w:t xml:space="preserve"> dugotrajne</w:t>
      </w:r>
      <w:r w:rsidRPr="004E6802">
        <w:rPr>
          <w:rFonts w:ascii="TyponineSans Reg" w:hAnsi="TyponineSans Reg"/>
          <w:szCs w:val="22"/>
        </w:rPr>
        <w:t xml:space="preserve"> materijalne imovine knj</w:t>
      </w:r>
      <w:r>
        <w:rPr>
          <w:rFonts w:ascii="TyponineSans Reg" w:hAnsi="TyponineSans Reg"/>
          <w:szCs w:val="22"/>
        </w:rPr>
        <w:t>i</w:t>
      </w:r>
      <w:r w:rsidRPr="004E6802">
        <w:rPr>
          <w:rFonts w:ascii="TyponineSans Reg" w:hAnsi="TyponineSans Reg"/>
          <w:szCs w:val="22"/>
        </w:rPr>
        <w:t>žene na teret konta 9222</w:t>
      </w:r>
      <w:r w:rsidRPr="004E6802">
        <w:rPr>
          <w:rFonts w:ascii="TyponineSans Reg" w:hAnsi="TyponineSans Reg"/>
          <w:sz w:val="24"/>
          <w:szCs w:val="24"/>
        </w:rPr>
        <w:t xml:space="preserve"> </w:t>
      </w:r>
      <w:r w:rsidRPr="004E6802">
        <w:rPr>
          <w:rFonts w:ascii="TyponineSans Reg" w:hAnsi="TyponineSans Reg"/>
          <w:szCs w:val="22"/>
        </w:rPr>
        <w:t>godine u ukupnom iznosu od 292.726,96 Eur  manjak prihoda od nefinancijske imovine</w:t>
      </w:r>
      <w:r>
        <w:rPr>
          <w:rFonts w:ascii="TyponineSans Reg" w:hAnsi="TyponineSans Reg"/>
          <w:szCs w:val="22"/>
        </w:rPr>
        <w:t xml:space="preserve"> na dan 31.12.2024. godine, a</w:t>
      </w:r>
      <w:r w:rsidRPr="004E6802">
        <w:rPr>
          <w:rFonts w:ascii="TyponineSans Reg" w:hAnsi="TyponineSans Reg"/>
          <w:szCs w:val="22"/>
        </w:rPr>
        <w:t xml:space="preserve"> prije knjiženja kapitalne korekcije</w:t>
      </w:r>
      <w:r>
        <w:rPr>
          <w:rFonts w:ascii="TyponineSans Reg" w:hAnsi="TyponineSans Reg"/>
          <w:szCs w:val="22"/>
        </w:rPr>
        <w:t>,</w:t>
      </w:r>
      <w:r w:rsidRPr="004E6802">
        <w:rPr>
          <w:rFonts w:ascii="TyponineSans Reg" w:hAnsi="TyponineSans Reg"/>
          <w:szCs w:val="22"/>
        </w:rPr>
        <w:t xml:space="preserve">  iznosio bi  10.156.312,60 Eur. </w:t>
      </w:r>
    </w:p>
    <w:p w14:paraId="2FA932AC" w14:textId="77777777" w:rsidR="00756FF4" w:rsidRPr="004E6802" w:rsidRDefault="00756FF4" w:rsidP="00756FF4">
      <w:pPr>
        <w:jc w:val="both"/>
        <w:rPr>
          <w:rFonts w:ascii="TyponineSans Reg" w:hAnsi="TyponineSans Reg"/>
          <w:szCs w:val="22"/>
        </w:rPr>
      </w:pPr>
    </w:p>
    <w:p w14:paraId="516EE85D" w14:textId="77777777" w:rsidR="00756FF4" w:rsidRPr="00BE72AB" w:rsidRDefault="00756FF4" w:rsidP="00756FF4">
      <w:pPr>
        <w:jc w:val="both"/>
        <w:rPr>
          <w:rFonts w:ascii="TyponineSans Reg" w:hAnsi="TyponineSans Reg"/>
          <w:szCs w:val="22"/>
        </w:rPr>
      </w:pPr>
      <w:r w:rsidRPr="00BE72AB">
        <w:rPr>
          <w:rFonts w:ascii="TyponineSans Reg" w:hAnsi="TyponineSans Reg"/>
          <w:szCs w:val="22"/>
        </w:rPr>
        <w:t xml:space="preserve">Nakon provedene obavezne korekcije poslovnog rezultata za primljene i realizirane kapitalne pomoći u iznosu od </w:t>
      </w:r>
      <w:r>
        <w:rPr>
          <w:rFonts w:ascii="TyponineSans Reg" w:hAnsi="TyponineSans Reg"/>
          <w:szCs w:val="22"/>
        </w:rPr>
        <w:t>26.419,10</w:t>
      </w:r>
      <w:r w:rsidRPr="00BE72AB">
        <w:rPr>
          <w:rFonts w:ascii="TyponineSans Reg" w:hAnsi="TyponineSans Reg"/>
          <w:szCs w:val="22"/>
        </w:rPr>
        <w:t xml:space="preserve"> Eur iskazan je višak prihoda od poslovanja te na dan 31.12.202</w:t>
      </w:r>
      <w:r>
        <w:rPr>
          <w:rFonts w:ascii="TyponineSans Reg" w:hAnsi="TyponineSans Reg"/>
          <w:szCs w:val="22"/>
        </w:rPr>
        <w:t>4</w:t>
      </w:r>
      <w:r w:rsidRPr="00BE72AB">
        <w:rPr>
          <w:rFonts w:ascii="TyponineSans Reg" w:hAnsi="TyponineSans Reg"/>
          <w:szCs w:val="22"/>
        </w:rPr>
        <w:t xml:space="preserve">. godine iznosi </w:t>
      </w:r>
      <w:r>
        <w:rPr>
          <w:rFonts w:ascii="TyponineSans Reg" w:hAnsi="TyponineSans Reg"/>
          <w:szCs w:val="22"/>
        </w:rPr>
        <w:t>3.578.549,28</w:t>
      </w:r>
      <w:r w:rsidRPr="00BE72AB">
        <w:rPr>
          <w:rFonts w:ascii="TyponineSans Reg" w:hAnsi="TyponineSans Reg"/>
          <w:szCs w:val="22"/>
        </w:rPr>
        <w:t xml:space="preserve"> Eur uz istovremeno smanjenje negativnog rezultata nefinancijske imovine koji nakon provedene korekcije iznosi </w:t>
      </w:r>
      <w:r>
        <w:rPr>
          <w:rFonts w:ascii="TyponineSans Reg" w:hAnsi="TyponineSans Reg"/>
          <w:szCs w:val="22"/>
        </w:rPr>
        <w:t>10.129.893,50</w:t>
      </w:r>
      <w:r w:rsidRPr="00BE72AB">
        <w:rPr>
          <w:rFonts w:ascii="TyponineSans Reg" w:hAnsi="TyponineSans Reg"/>
          <w:szCs w:val="22"/>
        </w:rPr>
        <w:t xml:space="preserve"> Eur.</w:t>
      </w:r>
    </w:p>
    <w:p w14:paraId="26D51513" w14:textId="77777777" w:rsidR="00756FF4" w:rsidRPr="00BE72AB" w:rsidRDefault="00756FF4" w:rsidP="00756FF4">
      <w:pPr>
        <w:jc w:val="both"/>
        <w:rPr>
          <w:rFonts w:ascii="TyponineSans Reg" w:hAnsi="TyponineSans Reg"/>
          <w:szCs w:val="22"/>
        </w:rPr>
      </w:pPr>
    </w:p>
    <w:p w14:paraId="579632D9" w14:textId="77777777" w:rsidR="00756FF4" w:rsidRPr="00BE72AB" w:rsidRDefault="00756FF4" w:rsidP="00756FF4">
      <w:pPr>
        <w:jc w:val="both"/>
        <w:rPr>
          <w:rFonts w:ascii="TyponineSans Reg" w:hAnsi="TyponineSans Reg"/>
          <w:szCs w:val="22"/>
        </w:rPr>
      </w:pPr>
      <w:r w:rsidRPr="00BE72AB">
        <w:rPr>
          <w:rFonts w:ascii="TyponineSans Reg" w:hAnsi="TyponineSans Reg"/>
          <w:szCs w:val="22"/>
        </w:rPr>
        <w:t>Iznos obavezne korekcije proveden je u skladu sa čl. 215 Pravilnika o proračunskom računovodstvu u ukupnom iznosu od 26.419,10 Eur  za sredstva koja su knjižena na skupinama konta 63 i 66, a utrošena su za nabavu nefinacijske imovine</w:t>
      </w:r>
      <w:r>
        <w:rPr>
          <w:rFonts w:ascii="TyponineSans Reg" w:hAnsi="TyponineSans Reg"/>
          <w:szCs w:val="22"/>
        </w:rPr>
        <w:t>:</w:t>
      </w:r>
    </w:p>
    <w:p w14:paraId="38298A78" w14:textId="77777777" w:rsidR="00756FF4" w:rsidRPr="00BE72AB" w:rsidRDefault="00756FF4" w:rsidP="00756FF4">
      <w:pPr>
        <w:jc w:val="both"/>
        <w:rPr>
          <w:rFonts w:ascii="TyponineSans Reg" w:hAnsi="TyponineSans Reg"/>
          <w:szCs w:val="22"/>
        </w:rPr>
      </w:pPr>
    </w:p>
    <w:p w14:paraId="2CB1FD0E" w14:textId="77777777" w:rsidR="00756FF4" w:rsidRPr="00BE72AB" w:rsidRDefault="00756FF4" w:rsidP="00756FF4">
      <w:pPr>
        <w:numPr>
          <w:ilvl w:val="0"/>
          <w:numId w:val="33"/>
        </w:numPr>
        <w:jc w:val="both"/>
        <w:rPr>
          <w:rFonts w:ascii="TyponineSans Reg" w:hAnsi="TyponineSans Reg"/>
          <w:szCs w:val="22"/>
        </w:rPr>
      </w:pPr>
      <w:r w:rsidRPr="00BE72AB">
        <w:rPr>
          <w:rFonts w:ascii="TyponineSans Reg" w:hAnsi="TyponineSans Reg"/>
          <w:szCs w:val="22"/>
        </w:rPr>
        <w:t>Konto 634250 – Kapitalne pomoći od ostalih izvanproračunskih korisnika državnog priračuna, koje se odnose na sredstva primljena vezano za provedbu projekta zaštite Plemenite periske u iznosu od 1.409,26 Eur</w:t>
      </w:r>
    </w:p>
    <w:p w14:paraId="4345C54C" w14:textId="77777777" w:rsidR="00756FF4" w:rsidRPr="00BE72AB" w:rsidRDefault="00756FF4" w:rsidP="00756FF4">
      <w:pPr>
        <w:numPr>
          <w:ilvl w:val="0"/>
          <w:numId w:val="33"/>
        </w:numPr>
        <w:jc w:val="both"/>
        <w:rPr>
          <w:rFonts w:ascii="TyponineSans Reg" w:hAnsi="TyponineSans Reg"/>
          <w:szCs w:val="22"/>
        </w:rPr>
      </w:pPr>
      <w:r w:rsidRPr="00BE72AB">
        <w:rPr>
          <w:rFonts w:ascii="TyponineSans Reg" w:hAnsi="TyponineSans Reg"/>
          <w:szCs w:val="22"/>
        </w:rPr>
        <w:t>Konto 639210 – Kapitalni prijenosi između proračunskih korisnika istog proračuna koja se odnose na sredstva primljena od nadležnog Ministarstva zaštite okoliša i zelene tranzicije za program zaštite divljih oprašivača u iznosu od 18.953,60 Eur</w:t>
      </w:r>
    </w:p>
    <w:p w14:paraId="66AECBD3" w14:textId="77777777" w:rsidR="00756FF4" w:rsidRPr="00BE72AB" w:rsidRDefault="00756FF4" w:rsidP="00756FF4">
      <w:pPr>
        <w:pStyle w:val="ListParagraph"/>
        <w:numPr>
          <w:ilvl w:val="0"/>
          <w:numId w:val="33"/>
        </w:numPr>
        <w:jc w:val="both"/>
        <w:rPr>
          <w:rFonts w:ascii="TyponineSans Reg" w:hAnsi="TyponineSans Reg"/>
          <w:szCs w:val="22"/>
        </w:rPr>
      </w:pPr>
      <w:r w:rsidRPr="00BE72AB">
        <w:rPr>
          <w:rFonts w:ascii="TyponineSans Reg" w:hAnsi="TyponineSans Reg"/>
          <w:szCs w:val="22"/>
        </w:rPr>
        <w:t xml:space="preserve">Konto 66321 – odnose se na sredstva primljena prethodnih godina od fizičkih osoba u svrhu nabavke pomagala za slonicu u iznosu od 1.256,24 Eur </w:t>
      </w:r>
    </w:p>
    <w:p w14:paraId="5ACE47F9" w14:textId="77777777" w:rsidR="00756FF4" w:rsidRPr="00BE72AB" w:rsidRDefault="00756FF4" w:rsidP="00756FF4">
      <w:pPr>
        <w:pStyle w:val="ListParagraph"/>
        <w:numPr>
          <w:ilvl w:val="0"/>
          <w:numId w:val="33"/>
        </w:numPr>
        <w:jc w:val="both"/>
        <w:rPr>
          <w:rFonts w:ascii="TyponineSans Reg" w:hAnsi="TyponineSans Reg"/>
          <w:szCs w:val="22"/>
        </w:rPr>
      </w:pPr>
      <w:r w:rsidRPr="00BE72AB">
        <w:rPr>
          <w:rFonts w:ascii="TyponineSans Reg" w:hAnsi="TyponineSans Reg"/>
          <w:szCs w:val="22"/>
        </w:rPr>
        <w:t xml:space="preserve">Konto 66321 – odnose se na sredstva primljena od fizičkih osoba za donaciju umjetničke slike u iznosu od 2.800 Eur </w:t>
      </w:r>
    </w:p>
    <w:p w14:paraId="36AC11FF" w14:textId="77777777" w:rsidR="00756FF4" w:rsidRPr="00BE72AB" w:rsidRDefault="00756FF4" w:rsidP="00756FF4">
      <w:pPr>
        <w:pStyle w:val="ListParagraph"/>
        <w:numPr>
          <w:ilvl w:val="0"/>
          <w:numId w:val="33"/>
        </w:numPr>
        <w:jc w:val="both"/>
        <w:rPr>
          <w:rFonts w:ascii="TyponineSans Reg" w:hAnsi="TyponineSans Reg"/>
          <w:szCs w:val="22"/>
        </w:rPr>
      </w:pPr>
      <w:r w:rsidRPr="00BE72AB">
        <w:rPr>
          <w:rFonts w:ascii="TyponineSans Reg" w:hAnsi="TyponineSans Reg"/>
          <w:szCs w:val="22"/>
        </w:rPr>
        <w:t xml:space="preserve">Konto 66323 – odnose se na sredstva primljena od trgovačkog društva  za donaciju solarne konzole </w:t>
      </w:r>
      <w:r>
        <w:rPr>
          <w:rFonts w:ascii="TyponineSans Reg" w:hAnsi="TyponineSans Reg"/>
          <w:szCs w:val="22"/>
        </w:rPr>
        <w:t>instalirane na</w:t>
      </w:r>
      <w:r w:rsidRPr="00BE72AB">
        <w:rPr>
          <w:rFonts w:ascii="TyponineSans Reg" w:hAnsi="TyponineSans Reg"/>
          <w:szCs w:val="22"/>
        </w:rPr>
        <w:t xml:space="preserve"> parkovn</w:t>
      </w:r>
      <w:r>
        <w:rPr>
          <w:rFonts w:ascii="TyponineSans Reg" w:hAnsi="TyponineSans Reg"/>
          <w:szCs w:val="22"/>
        </w:rPr>
        <w:t>e</w:t>
      </w:r>
      <w:r w:rsidRPr="00BE72AB">
        <w:rPr>
          <w:rFonts w:ascii="TyponineSans Reg" w:hAnsi="TyponineSans Reg"/>
          <w:szCs w:val="22"/>
        </w:rPr>
        <w:t xml:space="preserve"> klup</w:t>
      </w:r>
      <w:r>
        <w:rPr>
          <w:rFonts w:ascii="TyponineSans Reg" w:hAnsi="TyponineSans Reg"/>
          <w:szCs w:val="22"/>
        </w:rPr>
        <w:t>e</w:t>
      </w:r>
      <w:r w:rsidRPr="00BE72AB">
        <w:rPr>
          <w:rFonts w:ascii="TyponineSans Reg" w:hAnsi="TyponineSans Reg"/>
          <w:szCs w:val="22"/>
        </w:rPr>
        <w:t xml:space="preserve"> u iznosu od 2.000 Eur </w:t>
      </w:r>
    </w:p>
    <w:p w14:paraId="023B24C1" w14:textId="77777777" w:rsidR="00756FF4" w:rsidRPr="00FB4C39" w:rsidRDefault="00756FF4" w:rsidP="00756FF4">
      <w:pPr>
        <w:pStyle w:val="ListParagraph"/>
        <w:ind w:left="643"/>
        <w:jc w:val="both"/>
        <w:rPr>
          <w:rFonts w:ascii="TyponineSans Reg" w:hAnsi="TyponineSans Reg"/>
          <w:color w:val="0070C0"/>
          <w:szCs w:val="22"/>
        </w:rPr>
      </w:pPr>
    </w:p>
    <w:p w14:paraId="31FDADAC" w14:textId="77777777" w:rsidR="00756FF4" w:rsidRPr="00FB4C39" w:rsidRDefault="00756FF4" w:rsidP="00756FF4">
      <w:pPr>
        <w:pStyle w:val="ListParagraph"/>
        <w:ind w:left="720"/>
        <w:jc w:val="both"/>
        <w:rPr>
          <w:rFonts w:ascii="TyponineSans Reg" w:hAnsi="TyponineSans Reg"/>
          <w:color w:val="0070C0"/>
          <w:szCs w:val="22"/>
        </w:rPr>
      </w:pPr>
    </w:p>
    <w:p w14:paraId="6BFC63BE" w14:textId="77777777" w:rsidR="00756FF4" w:rsidRPr="00FB4C39" w:rsidRDefault="00756FF4" w:rsidP="00756FF4">
      <w:pPr>
        <w:jc w:val="both"/>
        <w:rPr>
          <w:rFonts w:ascii="TyponineSans Reg" w:hAnsi="TyponineSans Reg"/>
          <w:color w:val="0070C0"/>
          <w:szCs w:val="22"/>
        </w:rPr>
      </w:pPr>
    </w:p>
    <w:p w14:paraId="4C8B7313" w14:textId="77777777" w:rsidR="00756FF4" w:rsidRPr="009D4932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  <w:r w:rsidRPr="009D4932">
        <w:rPr>
          <w:rFonts w:ascii="TyponineSans Reg" w:hAnsi="TyponineSans Reg"/>
          <w:b/>
          <w:sz w:val="24"/>
          <w:szCs w:val="24"/>
        </w:rPr>
        <w:t>Šifra 991 / šifra 996</w:t>
      </w:r>
    </w:p>
    <w:p w14:paraId="1CCA6DE8" w14:textId="77777777" w:rsidR="00756FF4" w:rsidRPr="009D4932" w:rsidRDefault="00756FF4" w:rsidP="00756FF4">
      <w:pPr>
        <w:jc w:val="both"/>
        <w:rPr>
          <w:rFonts w:ascii="TyponineSans Reg" w:hAnsi="TyponineSans Reg"/>
          <w:b/>
          <w:sz w:val="24"/>
          <w:szCs w:val="24"/>
        </w:rPr>
      </w:pPr>
      <w:r w:rsidRPr="009D4932">
        <w:rPr>
          <w:rFonts w:ascii="TyponineSans Reg" w:hAnsi="TyponineSans Reg"/>
          <w:b/>
          <w:sz w:val="24"/>
          <w:szCs w:val="24"/>
        </w:rPr>
        <w:t>Izvanbilančna aktiva/pasiva</w:t>
      </w:r>
    </w:p>
    <w:p w14:paraId="1CE71422" w14:textId="77777777" w:rsidR="00756FF4" w:rsidRPr="00FB4C39" w:rsidRDefault="00756FF4" w:rsidP="00756FF4">
      <w:pPr>
        <w:jc w:val="both"/>
        <w:rPr>
          <w:rFonts w:ascii="TyponineSans Reg" w:hAnsi="TyponineSans Reg"/>
          <w:b/>
          <w:color w:val="0070C0"/>
          <w:sz w:val="24"/>
          <w:szCs w:val="24"/>
        </w:rPr>
      </w:pPr>
    </w:p>
    <w:p w14:paraId="67FC0E54" w14:textId="77777777" w:rsidR="00756FF4" w:rsidRPr="005E2DE5" w:rsidRDefault="00756FF4" w:rsidP="00756FF4">
      <w:pPr>
        <w:jc w:val="both"/>
        <w:rPr>
          <w:rFonts w:ascii="TyponineSans Reg" w:hAnsi="TyponineSans Reg"/>
          <w:szCs w:val="22"/>
        </w:rPr>
      </w:pPr>
      <w:r w:rsidRPr="005E2DE5">
        <w:rPr>
          <w:rFonts w:ascii="TyponineSans Reg" w:hAnsi="TyponineSans Reg"/>
          <w:szCs w:val="22"/>
        </w:rPr>
        <w:t>Ukupna vrijednost izvanbilančnih stavki Ustanove na dan 31.12.2024. godine iznosi 71.304,63 Eur i odnosi se na slijedeće stavke:</w:t>
      </w:r>
    </w:p>
    <w:p w14:paraId="4BBE8C46" w14:textId="77777777" w:rsidR="00756FF4" w:rsidRPr="005E2DE5" w:rsidRDefault="00756FF4" w:rsidP="00756FF4">
      <w:pPr>
        <w:ind w:left="720"/>
        <w:jc w:val="both"/>
        <w:rPr>
          <w:rFonts w:ascii="TyponineSans Reg" w:hAnsi="TyponineSans Reg"/>
          <w:szCs w:val="22"/>
        </w:rPr>
      </w:pPr>
    </w:p>
    <w:p w14:paraId="68183883" w14:textId="77777777" w:rsidR="00756FF4" w:rsidRPr="005E2DE5" w:rsidRDefault="00756FF4" w:rsidP="00756FF4">
      <w:pPr>
        <w:numPr>
          <w:ilvl w:val="0"/>
          <w:numId w:val="34"/>
        </w:numPr>
        <w:jc w:val="both"/>
        <w:rPr>
          <w:rFonts w:ascii="TyponineSans Reg" w:hAnsi="TyponineSans Reg"/>
          <w:szCs w:val="22"/>
        </w:rPr>
      </w:pPr>
      <w:r w:rsidRPr="005E2DE5">
        <w:rPr>
          <w:rFonts w:ascii="TyponineSans Reg" w:hAnsi="TyponineSans Reg"/>
          <w:szCs w:val="22"/>
        </w:rPr>
        <w:t>tuđa imovina na korištenju u ukupnom iznosu od 14.784,44 Eur i nepromjenjena je u odnosu na prethodnu godinu</w:t>
      </w:r>
    </w:p>
    <w:p w14:paraId="043CE6B0" w14:textId="719E955C" w:rsidR="00756FF4" w:rsidRPr="005E2DE5" w:rsidRDefault="00756FF4" w:rsidP="00756FF4">
      <w:pPr>
        <w:numPr>
          <w:ilvl w:val="0"/>
          <w:numId w:val="34"/>
        </w:numPr>
        <w:jc w:val="both"/>
        <w:rPr>
          <w:rFonts w:ascii="TyponineSans Reg" w:hAnsi="TyponineSans Reg"/>
          <w:szCs w:val="22"/>
        </w:rPr>
      </w:pPr>
      <w:r w:rsidRPr="005E2DE5">
        <w:rPr>
          <w:rFonts w:ascii="TyponineSans Reg" w:hAnsi="TyponineSans Reg"/>
          <w:szCs w:val="22"/>
        </w:rPr>
        <w:t xml:space="preserve">evidentirane instrumente osiguranja plaćanja kao i bankarsku garanciju u vrijednosti </w:t>
      </w:r>
      <w:r w:rsidR="00DB449C">
        <w:rPr>
          <w:rFonts w:ascii="TyponineSans Reg" w:hAnsi="TyponineSans Reg"/>
          <w:szCs w:val="22"/>
        </w:rPr>
        <w:t xml:space="preserve">u ukupnoj vrijednosti od </w:t>
      </w:r>
      <w:r w:rsidRPr="005E2DE5">
        <w:rPr>
          <w:rFonts w:ascii="TyponineSans Reg" w:hAnsi="TyponineSans Reg"/>
          <w:szCs w:val="22"/>
        </w:rPr>
        <w:t xml:space="preserve"> </w:t>
      </w:r>
      <w:r w:rsidR="00DB449C">
        <w:rPr>
          <w:rFonts w:ascii="TyponineSans Reg" w:hAnsi="TyponineSans Reg"/>
          <w:szCs w:val="22"/>
        </w:rPr>
        <w:t xml:space="preserve">56.520,19 </w:t>
      </w:r>
      <w:r w:rsidRPr="005E2DE5">
        <w:rPr>
          <w:rFonts w:ascii="TyponineSans Reg" w:hAnsi="TyponineSans Reg"/>
          <w:szCs w:val="22"/>
        </w:rPr>
        <w:t>Eur evidentiran</w:t>
      </w:r>
      <w:r w:rsidR="00DB449C">
        <w:rPr>
          <w:rFonts w:ascii="TyponineSans Reg" w:hAnsi="TyponineSans Reg"/>
          <w:szCs w:val="22"/>
        </w:rPr>
        <w:t>ih</w:t>
      </w:r>
      <w:r w:rsidRPr="005E2DE5">
        <w:rPr>
          <w:rFonts w:ascii="TyponineSans Reg" w:hAnsi="TyponineSans Reg"/>
          <w:szCs w:val="22"/>
        </w:rPr>
        <w:t xml:space="preserve"> u tekućoj godini</w:t>
      </w:r>
    </w:p>
    <w:p w14:paraId="2F6AB366" w14:textId="77777777" w:rsidR="00756FF4" w:rsidRPr="0008223A" w:rsidRDefault="00756FF4" w:rsidP="00756FF4">
      <w:pPr>
        <w:numPr>
          <w:ilvl w:val="0"/>
          <w:numId w:val="34"/>
        </w:numPr>
        <w:jc w:val="both"/>
        <w:rPr>
          <w:rFonts w:ascii="TyponineSans Reg" w:hAnsi="TyponineSans Reg"/>
          <w:szCs w:val="22"/>
        </w:rPr>
      </w:pPr>
      <w:r w:rsidRPr="0008223A">
        <w:rPr>
          <w:rFonts w:ascii="TyponineSans Reg" w:hAnsi="TyponineSans Reg"/>
          <w:szCs w:val="22"/>
        </w:rPr>
        <w:t xml:space="preserve">u skupini konta 9969 u bilance Ustanove prethodne godine bila je iskazana vrijednost </w:t>
      </w:r>
      <w:r>
        <w:rPr>
          <w:rFonts w:ascii="TyponineSans Reg" w:hAnsi="TyponineSans Reg"/>
          <w:szCs w:val="22"/>
        </w:rPr>
        <w:t xml:space="preserve">sudskog </w:t>
      </w:r>
      <w:r w:rsidRPr="0008223A">
        <w:rPr>
          <w:rFonts w:ascii="TyponineSans Reg" w:hAnsi="TyponineSans Reg"/>
          <w:szCs w:val="22"/>
        </w:rPr>
        <w:t xml:space="preserve">spora </w:t>
      </w:r>
      <w:r>
        <w:rPr>
          <w:rFonts w:ascii="TyponineSans Reg" w:hAnsi="TyponineSans Reg"/>
          <w:szCs w:val="22"/>
        </w:rPr>
        <w:t xml:space="preserve">iz radnih odnosa </w:t>
      </w:r>
      <w:r w:rsidRPr="0008223A">
        <w:rPr>
          <w:rFonts w:ascii="TyponineSans Reg" w:hAnsi="TyponineSans Reg"/>
          <w:szCs w:val="22"/>
        </w:rPr>
        <w:t>koji se vodio u u Općinskom sudu u Puli (posl. P -381/2020)  u iznosu od 1.459,95 Eur. Kako je tijekom 2024. godine spor okončan isknjižena je navedena vrijednost te na dan 31.12.2024. godine Ustanova nema iskazanih potencijalnih obveza po osnovi sudskih sporova.</w:t>
      </w:r>
    </w:p>
    <w:p w14:paraId="2B711225" w14:textId="77777777" w:rsidR="00756FF4" w:rsidRPr="009D4932" w:rsidRDefault="00756FF4" w:rsidP="00756FF4">
      <w:pPr>
        <w:ind w:left="720"/>
        <w:jc w:val="both"/>
        <w:rPr>
          <w:rFonts w:ascii="TyponineSans Reg" w:hAnsi="TyponineSans Reg"/>
          <w:color w:val="FF0000"/>
          <w:szCs w:val="22"/>
        </w:rPr>
      </w:pPr>
    </w:p>
    <w:p w14:paraId="2BD1D0DC" w14:textId="77777777" w:rsidR="00756FF4" w:rsidRPr="00FB4C39" w:rsidRDefault="00756FF4" w:rsidP="00756FF4">
      <w:pPr>
        <w:jc w:val="both"/>
        <w:rPr>
          <w:rFonts w:ascii="TyponineSans Reg" w:hAnsi="TyponineSans Reg"/>
          <w:color w:val="0070C0"/>
          <w:szCs w:val="22"/>
        </w:rPr>
      </w:pPr>
    </w:p>
    <w:p w14:paraId="2B466356" w14:textId="77777777" w:rsidR="00756FF4" w:rsidRPr="001D1C09" w:rsidRDefault="00756FF4" w:rsidP="00756FF4">
      <w:pPr>
        <w:jc w:val="both"/>
        <w:rPr>
          <w:rFonts w:ascii="TyponineSans Reg" w:hAnsi="TyponineSans Reg"/>
          <w:szCs w:val="22"/>
        </w:rPr>
      </w:pPr>
      <w:r>
        <w:rPr>
          <w:rFonts w:ascii="TyponineSans Reg" w:hAnsi="TyponineSans Reg"/>
          <w:szCs w:val="22"/>
        </w:rPr>
        <w:t>Osim toga, pored</w:t>
      </w:r>
      <w:r w:rsidRPr="001D1C09">
        <w:rPr>
          <w:rFonts w:ascii="TyponineSans Reg" w:hAnsi="TyponineSans Reg"/>
          <w:szCs w:val="22"/>
        </w:rPr>
        <w:t xml:space="preserve"> ugovora iz redovnog poslovanja sa kupcima i dobavljačima i po osnovu toga primljenih garancija plaćanja Ustanova nema </w:t>
      </w:r>
      <w:bookmarkStart w:id="3" w:name="_Hlk62568615"/>
      <w:r w:rsidRPr="001D1C09">
        <w:rPr>
          <w:rFonts w:ascii="TyponineSans Reg" w:hAnsi="TyponineSans Reg"/>
          <w:szCs w:val="22"/>
        </w:rPr>
        <w:t>evidentiranih dodatnih ugovornih odnosa koji uz ispunjenje određenih uvjeta mogu postati obveza ili imovina kao što su dana kreditna pisma, hipoteke i slično</w:t>
      </w:r>
      <w:r>
        <w:rPr>
          <w:rFonts w:ascii="TyponineSans Reg" w:hAnsi="TyponineSans Reg"/>
          <w:szCs w:val="22"/>
        </w:rPr>
        <w:t>, a</w:t>
      </w:r>
      <w:r w:rsidRPr="001D1C09">
        <w:rPr>
          <w:rFonts w:ascii="TyponineSans Reg" w:hAnsi="TyponineSans Reg"/>
          <w:szCs w:val="22"/>
        </w:rPr>
        <w:t xml:space="preserve"> koji bi kao takvi bili evidentirani u izvanbilančnoj evidenciji. </w:t>
      </w:r>
    </w:p>
    <w:p w14:paraId="033D2792" w14:textId="77777777" w:rsidR="00756FF4" w:rsidRDefault="00756FF4" w:rsidP="00756FF4">
      <w:pPr>
        <w:jc w:val="both"/>
        <w:rPr>
          <w:rFonts w:ascii="TyponineSans Reg" w:hAnsi="TyponineSans Reg"/>
          <w:color w:val="0070C0"/>
          <w:szCs w:val="22"/>
        </w:rPr>
      </w:pPr>
    </w:p>
    <w:p w14:paraId="666F96F6" w14:textId="77777777" w:rsidR="00BB1F93" w:rsidRDefault="00BB1F93" w:rsidP="00756FF4">
      <w:pPr>
        <w:jc w:val="both"/>
        <w:rPr>
          <w:rFonts w:ascii="TyponineSans Reg" w:hAnsi="TyponineSans Reg"/>
          <w:color w:val="0070C0"/>
          <w:szCs w:val="22"/>
        </w:rPr>
      </w:pPr>
    </w:p>
    <w:p w14:paraId="65453759" w14:textId="77777777" w:rsidR="00BB1F93" w:rsidRDefault="00BB1F93" w:rsidP="00756FF4">
      <w:pPr>
        <w:jc w:val="both"/>
        <w:rPr>
          <w:rFonts w:ascii="TyponineSans Reg" w:hAnsi="TyponineSans Reg"/>
          <w:color w:val="0070C0"/>
          <w:szCs w:val="22"/>
        </w:rPr>
      </w:pPr>
    </w:p>
    <w:p w14:paraId="0C16FDEA" w14:textId="77777777" w:rsidR="00BB1F93" w:rsidRPr="00FB4C39" w:rsidRDefault="00BB1F93" w:rsidP="00756FF4">
      <w:pPr>
        <w:jc w:val="both"/>
        <w:rPr>
          <w:rFonts w:ascii="TyponineSans Reg" w:hAnsi="TyponineSans Reg"/>
          <w:color w:val="0070C0"/>
          <w:szCs w:val="22"/>
        </w:rPr>
      </w:pPr>
    </w:p>
    <w:bookmarkEnd w:id="3"/>
    <w:p w14:paraId="5C23C788" w14:textId="77777777" w:rsidR="00756FF4" w:rsidRPr="00FB4C39" w:rsidRDefault="00756FF4" w:rsidP="00756FF4">
      <w:pPr>
        <w:jc w:val="both"/>
        <w:rPr>
          <w:rFonts w:ascii="TyponineSans Reg" w:hAnsi="TyponineSans Reg"/>
          <w:b/>
          <w:color w:val="0070C0"/>
          <w:sz w:val="24"/>
          <w:szCs w:val="24"/>
        </w:rPr>
      </w:pPr>
    </w:p>
    <w:p w14:paraId="63AA8ECA" w14:textId="518DBB52" w:rsidR="00756FF4" w:rsidRPr="004128D9" w:rsidRDefault="00756FF4" w:rsidP="00756FF4">
      <w:pPr>
        <w:jc w:val="both"/>
        <w:rPr>
          <w:rFonts w:ascii="TyponineSans Reg" w:hAnsi="TyponineSans Reg"/>
          <w:b/>
          <w:sz w:val="24"/>
          <w:szCs w:val="24"/>
          <w:bdr w:val="single" w:sz="4" w:space="0" w:color="auto"/>
        </w:rPr>
      </w:pPr>
      <w:r w:rsidRPr="004128D9">
        <w:rPr>
          <w:rFonts w:ascii="TyponineSans Reg" w:hAnsi="TyponineSans Reg"/>
          <w:b/>
          <w:sz w:val="24"/>
          <w:szCs w:val="24"/>
          <w:bdr w:val="single" w:sz="4" w:space="0" w:color="auto"/>
        </w:rPr>
        <w:t xml:space="preserve">Bilješka br. </w:t>
      </w:r>
      <w:r>
        <w:rPr>
          <w:rFonts w:ascii="TyponineSans Reg" w:hAnsi="TyponineSans Reg"/>
          <w:b/>
          <w:sz w:val="24"/>
          <w:szCs w:val="24"/>
          <w:bdr w:val="single" w:sz="4" w:space="0" w:color="auto"/>
        </w:rPr>
        <w:t>4</w:t>
      </w:r>
      <w:r w:rsidRPr="004128D9">
        <w:rPr>
          <w:rFonts w:ascii="TyponineSans Reg" w:hAnsi="TyponineSans Reg"/>
          <w:b/>
          <w:sz w:val="24"/>
          <w:szCs w:val="24"/>
          <w:bdr w:val="single" w:sz="4" w:space="0" w:color="auto"/>
        </w:rPr>
        <w:t xml:space="preserve">.:  Bilješke uz Izvještaj o promjenama u vrijednosti i obujmu imovine </w:t>
      </w:r>
    </w:p>
    <w:p w14:paraId="2134B8D2" w14:textId="77777777" w:rsidR="00756FF4" w:rsidRPr="004128D9" w:rsidRDefault="00756FF4" w:rsidP="00756FF4">
      <w:pPr>
        <w:jc w:val="both"/>
        <w:rPr>
          <w:rFonts w:ascii="TyponineSans Reg" w:hAnsi="TyponineSans Reg"/>
          <w:b/>
          <w:sz w:val="26"/>
          <w:szCs w:val="26"/>
        </w:rPr>
      </w:pPr>
    </w:p>
    <w:p w14:paraId="7EA3172B" w14:textId="77777777" w:rsidR="00756FF4" w:rsidRPr="004128D9" w:rsidRDefault="00756FF4" w:rsidP="00756FF4">
      <w:pPr>
        <w:jc w:val="both"/>
        <w:rPr>
          <w:rFonts w:ascii="TyponineSans Reg" w:hAnsi="TyponineSans Reg"/>
          <w:szCs w:val="22"/>
        </w:rPr>
      </w:pPr>
      <w:r w:rsidRPr="004128D9">
        <w:rPr>
          <w:rFonts w:ascii="TyponineSans Reg" w:hAnsi="TyponineSans Reg"/>
          <w:szCs w:val="22"/>
        </w:rPr>
        <w:t>U Izvještaju o promjenama u vrijednosti i obujmu imovine na šifri obrasca P018 iskazane su promjene u obujmu proizvedene dugotrajne imovine koj</w:t>
      </w:r>
      <w:r>
        <w:rPr>
          <w:rFonts w:ascii="TyponineSans Reg" w:hAnsi="TyponineSans Reg"/>
          <w:szCs w:val="22"/>
        </w:rPr>
        <w:t>e</w:t>
      </w:r>
      <w:r w:rsidRPr="004128D9">
        <w:rPr>
          <w:rFonts w:ascii="TyponineSans Reg" w:hAnsi="TyponineSans Reg"/>
          <w:szCs w:val="22"/>
        </w:rPr>
        <w:t xml:space="preserve"> se odnose na:</w:t>
      </w:r>
    </w:p>
    <w:p w14:paraId="51BCC661" w14:textId="77777777" w:rsidR="00756FF4" w:rsidRPr="004128D9" w:rsidRDefault="00756FF4" w:rsidP="00756FF4">
      <w:pPr>
        <w:jc w:val="both"/>
        <w:rPr>
          <w:rFonts w:ascii="TyponineSans Reg" w:hAnsi="TyponineSans Reg"/>
          <w:szCs w:val="22"/>
        </w:rPr>
      </w:pPr>
    </w:p>
    <w:p w14:paraId="52135785" w14:textId="77777777" w:rsidR="00756FF4" w:rsidRPr="004128D9" w:rsidRDefault="00756FF4" w:rsidP="00756FF4">
      <w:pPr>
        <w:numPr>
          <w:ilvl w:val="0"/>
          <w:numId w:val="36"/>
        </w:numPr>
        <w:jc w:val="both"/>
        <w:rPr>
          <w:rFonts w:ascii="TyponineSans Reg" w:hAnsi="TyponineSans Reg"/>
          <w:szCs w:val="22"/>
        </w:rPr>
      </w:pPr>
      <w:r w:rsidRPr="004128D9">
        <w:rPr>
          <w:rFonts w:ascii="TyponineSans Reg" w:hAnsi="TyponineSans Reg"/>
          <w:szCs w:val="22"/>
        </w:rPr>
        <w:t>povećanje odnosno prirast tijekom godine divljih životinja odnosno srna i jelena kao i životinja u safari parku u ukupnoj vrijednosti od 33.620 Eur</w:t>
      </w:r>
    </w:p>
    <w:p w14:paraId="4B1172D1" w14:textId="77777777" w:rsidR="00756FF4" w:rsidRPr="004128D9" w:rsidRDefault="00756FF4" w:rsidP="00756FF4">
      <w:pPr>
        <w:numPr>
          <w:ilvl w:val="0"/>
          <w:numId w:val="36"/>
        </w:numPr>
        <w:jc w:val="both"/>
        <w:rPr>
          <w:rFonts w:ascii="TyponineSans Reg" w:hAnsi="TyponineSans Reg"/>
          <w:szCs w:val="22"/>
        </w:rPr>
      </w:pPr>
      <w:r w:rsidRPr="004128D9">
        <w:rPr>
          <w:rFonts w:ascii="TyponineSans Reg" w:hAnsi="TyponineSans Reg"/>
          <w:szCs w:val="22"/>
        </w:rPr>
        <w:t xml:space="preserve">smanjenje vrijednosti imovine od 9.549,14 Eur  koje se odnosi na preostalu sadašnju vrijednost rashodovanih i uništenih sredstava dugotrajne materijalne imovine Ustanove kao i evidentiranu  vrijednost uginuća životinja tijekom godine </w:t>
      </w:r>
    </w:p>
    <w:p w14:paraId="776E8C2C" w14:textId="77777777" w:rsidR="00756FF4" w:rsidRPr="004128D9" w:rsidRDefault="00756FF4" w:rsidP="00756FF4">
      <w:pPr>
        <w:ind w:left="1740"/>
        <w:jc w:val="both"/>
        <w:rPr>
          <w:rFonts w:ascii="TyponineSans Reg" w:hAnsi="TyponineSans Reg"/>
          <w:szCs w:val="22"/>
        </w:rPr>
      </w:pPr>
    </w:p>
    <w:p w14:paraId="6704626D" w14:textId="77777777" w:rsidR="00756FF4" w:rsidRPr="004128D9" w:rsidRDefault="00756FF4" w:rsidP="00756FF4">
      <w:pPr>
        <w:jc w:val="both"/>
        <w:rPr>
          <w:rFonts w:ascii="TyponineSans Reg" w:hAnsi="TyponineSans Reg"/>
          <w:szCs w:val="22"/>
        </w:rPr>
      </w:pPr>
      <w:r w:rsidRPr="004128D9">
        <w:rPr>
          <w:rFonts w:ascii="TyponineSans Reg" w:hAnsi="TyponineSans Reg"/>
          <w:szCs w:val="22"/>
        </w:rPr>
        <w:t xml:space="preserve">Na šifri obrasca O035 iskazano je smanjenje vrijednosti obveza u ukupom iznosu od 9.029,28 Eur  proknjiženih na temelju godišnjeg Elaborata </w:t>
      </w:r>
      <w:r>
        <w:rPr>
          <w:rFonts w:ascii="TyponineSans Reg" w:hAnsi="TyponineSans Reg"/>
          <w:szCs w:val="22"/>
        </w:rPr>
        <w:t>U</w:t>
      </w:r>
      <w:r w:rsidRPr="004128D9">
        <w:rPr>
          <w:rFonts w:ascii="TyponineSans Reg" w:hAnsi="TyponineSans Reg"/>
          <w:szCs w:val="22"/>
        </w:rPr>
        <w:t>stanove, a odnose se na otpisane obveze prema dobavljačima koji su prestali sa poslovanjem i brisani su iz registra Trgovačkog suda.</w:t>
      </w:r>
    </w:p>
    <w:p w14:paraId="2E40E5E9" w14:textId="77777777" w:rsidR="00756FF4" w:rsidRPr="00FB4C39" w:rsidRDefault="00756FF4" w:rsidP="00756FF4">
      <w:pPr>
        <w:jc w:val="both"/>
        <w:rPr>
          <w:rFonts w:ascii="TyponineSans Reg" w:hAnsi="TyponineSans Reg"/>
          <w:b/>
          <w:color w:val="0070C0"/>
          <w:sz w:val="24"/>
          <w:szCs w:val="24"/>
          <w:bdr w:val="single" w:sz="4" w:space="0" w:color="auto"/>
        </w:rPr>
      </w:pPr>
    </w:p>
    <w:p w14:paraId="0AC0EE38" w14:textId="77777777" w:rsidR="00756FF4" w:rsidRPr="00FB4C39" w:rsidRDefault="00756FF4" w:rsidP="00756FF4">
      <w:pPr>
        <w:jc w:val="both"/>
        <w:rPr>
          <w:rFonts w:ascii="TyponineSans Reg" w:hAnsi="TyponineSans Reg"/>
          <w:b/>
          <w:color w:val="0070C0"/>
          <w:sz w:val="24"/>
          <w:szCs w:val="24"/>
          <w:bdr w:val="single" w:sz="4" w:space="0" w:color="auto"/>
        </w:rPr>
      </w:pPr>
    </w:p>
    <w:p w14:paraId="267F9444" w14:textId="77777777" w:rsidR="00756FF4" w:rsidRPr="00FB4C39" w:rsidRDefault="00756FF4" w:rsidP="00756FF4">
      <w:pPr>
        <w:jc w:val="both"/>
        <w:rPr>
          <w:rFonts w:ascii="TyponineSans Reg" w:hAnsi="TyponineSans Reg"/>
          <w:b/>
          <w:color w:val="0070C0"/>
          <w:sz w:val="24"/>
          <w:szCs w:val="24"/>
          <w:bdr w:val="single" w:sz="4" w:space="0" w:color="auto"/>
        </w:rPr>
      </w:pPr>
    </w:p>
    <w:p w14:paraId="0767B7D8" w14:textId="619E1BD4" w:rsidR="00756FF4" w:rsidRPr="009B2B72" w:rsidRDefault="00756FF4" w:rsidP="00756FF4">
      <w:pPr>
        <w:jc w:val="both"/>
        <w:rPr>
          <w:rFonts w:ascii="TyponineSans Reg" w:hAnsi="TyponineSans Reg"/>
          <w:b/>
          <w:sz w:val="24"/>
          <w:szCs w:val="24"/>
          <w:bdr w:val="single" w:sz="4" w:space="0" w:color="auto"/>
        </w:rPr>
      </w:pPr>
      <w:r w:rsidRPr="009B2B72">
        <w:rPr>
          <w:rFonts w:ascii="TyponineSans Reg" w:hAnsi="TyponineSans Reg"/>
          <w:b/>
          <w:sz w:val="24"/>
          <w:szCs w:val="24"/>
          <w:bdr w:val="single" w:sz="4" w:space="0" w:color="auto"/>
        </w:rPr>
        <w:t xml:space="preserve">Bilješka br. </w:t>
      </w:r>
      <w:r>
        <w:rPr>
          <w:rFonts w:ascii="TyponineSans Reg" w:hAnsi="TyponineSans Reg"/>
          <w:b/>
          <w:sz w:val="24"/>
          <w:szCs w:val="24"/>
          <w:bdr w:val="single" w:sz="4" w:space="0" w:color="auto"/>
        </w:rPr>
        <w:t>5</w:t>
      </w:r>
      <w:r w:rsidRPr="009B2B72">
        <w:rPr>
          <w:rFonts w:ascii="TyponineSans Reg" w:hAnsi="TyponineSans Reg"/>
          <w:b/>
          <w:sz w:val="24"/>
          <w:szCs w:val="24"/>
          <w:bdr w:val="single" w:sz="4" w:space="0" w:color="auto"/>
        </w:rPr>
        <w:t xml:space="preserve">.:  Bilješke uz Izvještaj o obvezama </w:t>
      </w:r>
    </w:p>
    <w:p w14:paraId="3104835B" w14:textId="77777777" w:rsidR="00756FF4" w:rsidRPr="009B2B72" w:rsidRDefault="00756FF4" w:rsidP="00756FF4">
      <w:pPr>
        <w:jc w:val="both"/>
        <w:rPr>
          <w:rFonts w:ascii="TyponineSans Reg" w:hAnsi="TyponineSans Reg"/>
          <w:b/>
          <w:sz w:val="26"/>
          <w:szCs w:val="26"/>
        </w:rPr>
      </w:pPr>
    </w:p>
    <w:p w14:paraId="15300224" w14:textId="77777777" w:rsidR="00756FF4" w:rsidRPr="007524F6" w:rsidRDefault="00756FF4" w:rsidP="00756FF4">
      <w:pPr>
        <w:jc w:val="both"/>
        <w:rPr>
          <w:rFonts w:ascii="TyponineSans Reg" w:hAnsi="TyponineSans Reg"/>
          <w:szCs w:val="22"/>
        </w:rPr>
      </w:pPr>
      <w:r w:rsidRPr="007524F6">
        <w:rPr>
          <w:rFonts w:ascii="TyponineSans Reg" w:hAnsi="TyponineSans Reg"/>
          <w:szCs w:val="22"/>
        </w:rPr>
        <w:t>U obrascu Izvještaja o obvezama  iskazan je ukupan iznos obveza na kraju izvještajnog razdoblja u ukupnoj  vrijednosti od 1.240.373,01 Eur. Tako iskazane obveze Ustanove manje su za 12,64% u odnosu na stanje obveza na dan 31.12.2023. godine kada su iznosile 1.419.867,27 Eur.</w:t>
      </w:r>
    </w:p>
    <w:p w14:paraId="6DCEEEE0" w14:textId="77777777" w:rsidR="00756FF4" w:rsidRPr="007524F6" w:rsidRDefault="00756FF4" w:rsidP="00756FF4">
      <w:pPr>
        <w:jc w:val="both"/>
        <w:rPr>
          <w:rFonts w:ascii="TyponineSans Reg" w:hAnsi="TyponineSans Reg"/>
          <w:szCs w:val="22"/>
        </w:rPr>
      </w:pPr>
    </w:p>
    <w:p w14:paraId="36AEF260" w14:textId="77777777" w:rsidR="00756FF4" w:rsidRPr="002873F0" w:rsidRDefault="00756FF4" w:rsidP="00756FF4">
      <w:pPr>
        <w:jc w:val="both"/>
        <w:rPr>
          <w:rFonts w:ascii="TyponineSans Reg" w:hAnsi="TyponineSans Reg"/>
          <w:szCs w:val="22"/>
        </w:rPr>
      </w:pPr>
      <w:r w:rsidRPr="007524F6">
        <w:rPr>
          <w:rFonts w:ascii="TyponineSans Reg" w:hAnsi="TyponineSans Reg"/>
          <w:szCs w:val="22"/>
        </w:rPr>
        <w:t xml:space="preserve">U strukturi ostvarenih obveza stanje dospjelih obveza iznosi 8.591,30 Eur i manje je u odnosu na prethodnu godinu kada je iznosilo 26.200,90 Eur. </w:t>
      </w:r>
      <w:r w:rsidRPr="002873F0">
        <w:rPr>
          <w:rFonts w:ascii="TyponineSans Reg" w:hAnsi="TyponineSans Reg"/>
          <w:szCs w:val="22"/>
        </w:rPr>
        <w:t xml:space="preserve">Navedeni troškovi nisu plaćeni u dospijeću budući da do dana 31.12.2024. godine nisu bili ovjereni ulazni računi zbog nedostatke kompletne dokumentacije za ovjeru istih. </w:t>
      </w:r>
    </w:p>
    <w:p w14:paraId="70950F09" w14:textId="77777777" w:rsidR="00756FF4" w:rsidRPr="007524F6" w:rsidRDefault="00756FF4" w:rsidP="00756FF4">
      <w:pPr>
        <w:jc w:val="both"/>
        <w:rPr>
          <w:rFonts w:ascii="TyponineSans Reg" w:hAnsi="TyponineSans Reg"/>
          <w:szCs w:val="22"/>
        </w:rPr>
      </w:pPr>
    </w:p>
    <w:p w14:paraId="216EB506" w14:textId="77777777" w:rsidR="00756FF4" w:rsidRPr="007524F6" w:rsidRDefault="00756FF4" w:rsidP="00756FF4">
      <w:pPr>
        <w:jc w:val="both"/>
        <w:rPr>
          <w:rFonts w:ascii="TyponineSans Reg" w:hAnsi="TyponineSans Reg"/>
          <w:szCs w:val="22"/>
        </w:rPr>
      </w:pPr>
      <w:r w:rsidRPr="007524F6">
        <w:rPr>
          <w:rFonts w:ascii="TyponineSans Reg" w:hAnsi="TyponineSans Reg"/>
          <w:szCs w:val="22"/>
        </w:rPr>
        <w:t>Vrijednost ukupn</w:t>
      </w:r>
      <w:r>
        <w:rPr>
          <w:rFonts w:ascii="TyponineSans Reg" w:hAnsi="TyponineSans Reg"/>
          <w:szCs w:val="22"/>
        </w:rPr>
        <w:t>o</w:t>
      </w:r>
      <w:r w:rsidRPr="007524F6">
        <w:rPr>
          <w:rFonts w:ascii="TyponineSans Reg" w:hAnsi="TyponineSans Reg"/>
          <w:szCs w:val="22"/>
        </w:rPr>
        <w:t xml:space="preserve"> nedospjelih obveza na dan 31.12.2024. iznosi  1.2</w:t>
      </w:r>
      <w:r>
        <w:rPr>
          <w:rFonts w:ascii="TyponineSans Reg" w:hAnsi="TyponineSans Reg"/>
          <w:szCs w:val="22"/>
        </w:rPr>
        <w:t>31</w:t>
      </w:r>
      <w:r w:rsidRPr="007524F6">
        <w:rPr>
          <w:rFonts w:ascii="TyponineSans Reg" w:hAnsi="TyponineSans Reg"/>
          <w:szCs w:val="22"/>
        </w:rPr>
        <w:t>.</w:t>
      </w:r>
      <w:r>
        <w:rPr>
          <w:rFonts w:ascii="TyponineSans Reg" w:hAnsi="TyponineSans Reg"/>
          <w:szCs w:val="22"/>
        </w:rPr>
        <w:t>781</w:t>
      </w:r>
      <w:r w:rsidRPr="007524F6">
        <w:rPr>
          <w:rFonts w:ascii="TyponineSans Reg" w:hAnsi="TyponineSans Reg"/>
          <w:szCs w:val="22"/>
        </w:rPr>
        <w:t>,</w:t>
      </w:r>
      <w:r>
        <w:rPr>
          <w:rFonts w:ascii="TyponineSans Reg" w:hAnsi="TyponineSans Reg"/>
          <w:szCs w:val="22"/>
        </w:rPr>
        <w:t>71</w:t>
      </w:r>
      <w:r w:rsidRPr="007524F6">
        <w:rPr>
          <w:rFonts w:ascii="TyponineSans Reg" w:hAnsi="TyponineSans Reg"/>
          <w:szCs w:val="22"/>
        </w:rPr>
        <w:t xml:space="preserve"> Eur i kao takvo manje je za </w:t>
      </w:r>
      <w:r>
        <w:rPr>
          <w:rFonts w:ascii="TyponineSans Reg" w:hAnsi="TyponineSans Reg"/>
          <w:szCs w:val="22"/>
        </w:rPr>
        <w:t>11</w:t>
      </w:r>
      <w:r w:rsidRPr="007524F6">
        <w:rPr>
          <w:rFonts w:ascii="TyponineSans Reg" w:hAnsi="TyponineSans Reg"/>
          <w:szCs w:val="22"/>
        </w:rPr>
        <w:t>,</w:t>
      </w:r>
      <w:r>
        <w:rPr>
          <w:rFonts w:ascii="TyponineSans Reg" w:hAnsi="TyponineSans Reg"/>
          <w:szCs w:val="22"/>
        </w:rPr>
        <w:t>62</w:t>
      </w:r>
      <w:r w:rsidRPr="007524F6">
        <w:rPr>
          <w:rFonts w:ascii="TyponineSans Reg" w:hAnsi="TyponineSans Reg"/>
          <w:szCs w:val="22"/>
        </w:rPr>
        <w:t>% u odnosu na prethodnu godinu kada je stanje nedospjelih obveza iznosilo 1.3</w:t>
      </w:r>
      <w:r>
        <w:rPr>
          <w:rFonts w:ascii="TyponineSans Reg" w:hAnsi="TyponineSans Reg"/>
          <w:szCs w:val="22"/>
        </w:rPr>
        <w:t>93</w:t>
      </w:r>
      <w:r w:rsidRPr="007524F6">
        <w:rPr>
          <w:rFonts w:ascii="TyponineSans Reg" w:hAnsi="TyponineSans Reg"/>
          <w:szCs w:val="22"/>
        </w:rPr>
        <w:t>.</w:t>
      </w:r>
      <w:r>
        <w:rPr>
          <w:rFonts w:ascii="TyponineSans Reg" w:hAnsi="TyponineSans Reg"/>
          <w:szCs w:val="22"/>
        </w:rPr>
        <w:t>666,37</w:t>
      </w:r>
      <w:r w:rsidRPr="007524F6">
        <w:rPr>
          <w:rFonts w:ascii="TyponineSans Reg" w:hAnsi="TyponineSans Reg"/>
          <w:szCs w:val="22"/>
        </w:rPr>
        <w:t xml:space="preserve"> Eur budući da su krajem 2023. godine zaprimljeni vrijednosno značajni računi, prije svega, za usluge tekućeg i investicijskog održavanja prijevoznih sredstava u pomorskom prometu i održavanj</w:t>
      </w:r>
      <w:r>
        <w:rPr>
          <w:rFonts w:ascii="TyponineSans Reg" w:hAnsi="TyponineSans Reg"/>
          <w:szCs w:val="22"/>
        </w:rPr>
        <w:t>e</w:t>
      </w:r>
      <w:r w:rsidRPr="007524F6">
        <w:rPr>
          <w:rFonts w:ascii="TyponineSans Reg" w:hAnsi="TyponineSans Reg"/>
          <w:szCs w:val="22"/>
        </w:rPr>
        <w:t xml:space="preserve"> građevinskih objekata sa dospijećem u 2024. godini što je onda utjecalo na povećanje obveza iskazanih na dan 31.12.2023. godine.</w:t>
      </w:r>
    </w:p>
    <w:p w14:paraId="2F235842" w14:textId="77777777" w:rsidR="00756FF4" w:rsidRPr="007524F6" w:rsidRDefault="00756FF4" w:rsidP="00756FF4">
      <w:pPr>
        <w:jc w:val="both"/>
        <w:rPr>
          <w:rFonts w:ascii="TyponineSans Reg" w:hAnsi="TyponineSans Reg"/>
          <w:szCs w:val="22"/>
        </w:rPr>
      </w:pPr>
      <w:r w:rsidRPr="007524F6">
        <w:rPr>
          <w:rFonts w:ascii="TyponineSans Reg" w:hAnsi="TyponineSans Reg"/>
          <w:szCs w:val="22"/>
        </w:rPr>
        <w:t xml:space="preserve"> </w:t>
      </w:r>
    </w:p>
    <w:p w14:paraId="79FDB4D7" w14:textId="77777777" w:rsidR="00756FF4" w:rsidRPr="00FB4C39" w:rsidRDefault="00756FF4" w:rsidP="00756FF4">
      <w:pPr>
        <w:tabs>
          <w:tab w:val="left" w:pos="4962"/>
        </w:tabs>
        <w:rPr>
          <w:rFonts w:ascii="TyponineSans Reg" w:hAnsi="TyponineSans Reg"/>
          <w:color w:val="0070C0"/>
          <w:szCs w:val="22"/>
        </w:rPr>
      </w:pPr>
    </w:p>
    <w:p w14:paraId="150F8648" w14:textId="77777777" w:rsidR="00756FF4" w:rsidRPr="00FB4C39" w:rsidRDefault="00756FF4" w:rsidP="00756FF4">
      <w:pPr>
        <w:tabs>
          <w:tab w:val="left" w:pos="4962"/>
        </w:tabs>
        <w:rPr>
          <w:rFonts w:ascii="TyponineSans Reg" w:hAnsi="TyponineSans Reg"/>
          <w:color w:val="0070C0"/>
          <w:szCs w:val="22"/>
        </w:rPr>
      </w:pPr>
    </w:p>
    <w:p w14:paraId="0F9F3A79" w14:textId="77777777" w:rsidR="00756FF4" w:rsidRPr="00FB4C39" w:rsidRDefault="00756FF4" w:rsidP="00756FF4">
      <w:pPr>
        <w:tabs>
          <w:tab w:val="left" w:pos="4962"/>
        </w:tabs>
        <w:rPr>
          <w:rFonts w:ascii="TyponineSans Reg" w:hAnsi="TyponineSans Reg"/>
          <w:color w:val="0070C0"/>
          <w:szCs w:val="22"/>
        </w:rPr>
      </w:pPr>
    </w:p>
    <w:p w14:paraId="6A92DDEA" w14:textId="77777777" w:rsidR="00756FF4" w:rsidRPr="00FB4C39" w:rsidRDefault="00756FF4" w:rsidP="00756FF4">
      <w:pPr>
        <w:tabs>
          <w:tab w:val="left" w:pos="4962"/>
        </w:tabs>
        <w:rPr>
          <w:rFonts w:ascii="TyponineSans Reg" w:hAnsi="TyponineSans Reg"/>
          <w:color w:val="0070C0"/>
          <w:szCs w:val="22"/>
        </w:rPr>
      </w:pPr>
    </w:p>
    <w:p w14:paraId="1F584F6C" w14:textId="77777777" w:rsidR="00756FF4" w:rsidRPr="00FB4C39" w:rsidRDefault="00756FF4" w:rsidP="00756FF4">
      <w:pPr>
        <w:tabs>
          <w:tab w:val="left" w:pos="4962"/>
        </w:tabs>
        <w:rPr>
          <w:rFonts w:ascii="TyponineSans Reg" w:hAnsi="TyponineSans Reg"/>
          <w:color w:val="0070C0"/>
          <w:szCs w:val="22"/>
        </w:rPr>
      </w:pPr>
    </w:p>
    <w:p w14:paraId="19EBADEA" w14:textId="77777777" w:rsidR="00756FF4" w:rsidRPr="00FB4C39" w:rsidRDefault="00756FF4" w:rsidP="00756FF4">
      <w:pPr>
        <w:tabs>
          <w:tab w:val="left" w:pos="4962"/>
        </w:tabs>
        <w:rPr>
          <w:rFonts w:ascii="TyponineSans Reg" w:hAnsi="TyponineSans Reg"/>
          <w:color w:val="0070C0"/>
          <w:szCs w:val="22"/>
        </w:rPr>
      </w:pPr>
    </w:p>
    <w:p w14:paraId="017BAF05" w14:textId="77777777" w:rsidR="00756FF4" w:rsidRPr="00FB4C39" w:rsidRDefault="00756FF4" w:rsidP="00756FF4">
      <w:pPr>
        <w:tabs>
          <w:tab w:val="left" w:pos="4962"/>
        </w:tabs>
        <w:rPr>
          <w:rFonts w:ascii="TyponineSans Reg" w:hAnsi="TyponineSans Reg"/>
          <w:color w:val="0070C0"/>
          <w:szCs w:val="22"/>
        </w:rPr>
      </w:pPr>
    </w:p>
    <w:p w14:paraId="00F61176" w14:textId="77777777" w:rsidR="00756FF4" w:rsidRPr="004503CB" w:rsidRDefault="00756FF4" w:rsidP="00756FF4">
      <w:pPr>
        <w:tabs>
          <w:tab w:val="left" w:pos="4962"/>
        </w:tabs>
        <w:rPr>
          <w:rFonts w:ascii="TyponineSans Reg" w:hAnsi="TyponineSans Reg"/>
          <w:szCs w:val="22"/>
        </w:rPr>
      </w:pPr>
      <w:r w:rsidRPr="00FB4C39">
        <w:rPr>
          <w:rFonts w:ascii="TyponineSans Reg" w:hAnsi="TyponineSans Reg"/>
          <w:color w:val="0070C0"/>
          <w:szCs w:val="22"/>
        </w:rPr>
        <w:tab/>
      </w:r>
      <w:r w:rsidRPr="004503CB">
        <w:rPr>
          <w:rFonts w:ascii="TyponineSans Reg" w:hAnsi="TyponineSans Reg"/>
          <w:szCs w:val="22"/>
        </w:rPr>
        <w:t xml:space="preserve">                     Ravnateljica </w:t>
      </w:r>
    </w:p>
    <w:p w14:paraId="7B0889A5" w14:textId="77777777" w:rsidR="00756FF4" w:rsidRPr="004503CB" w:rsidRDefault="00756FF4" w:rsidP="00756FF4">
      <w:pPr>
        <w:tabs>
          <w:tab w:val="left" w:pos="4962"/>
        </w:tabs>
        <w:rPr>
          <w:rFonts w:ascii="TyponineSans Reg" w:hAnsi="TyponineSans Reg"/>
          <w:szCs w:val="22"/>
        </w:rPr>
      </w:pPr>
      <w:r w:rsidRPr="004503CB">
        <w:rPr>
          <w:rFonts w:ascii="TyponineSans Reg" w:hAnsi="TyponineSans Reg"/>
          <w:szCs w:val="22"/>
        </w:rPr>
        <w:t xml:space="preserve">                                                                                                    Javne ustanove Nacionalni park Brijuni</w:t>
      </w:r>
    </w:p>
    <w:p w14:paraId="119589F9" w14:textId="77777777" w:rsidR="00756FF4" w:rsidRPr="004503CB" w:rsidRDefault="00756FF4" w:rsidP="00756FF4">
      <w:pPr>
        <w:tabs>
          <w:tab w:val="left" w:pos="4962"/>
        </w:tabs>
        <w:rPr>
          <w:rFonts w:ascii="TyponineSans Reg" w:hAnsi="TyponineSans Reg"/>
          <w:szCs w:val="22"/>
        </w:rPr>
      </w:pPr>
      <w:r w:rsidRPr="004503CB">
        <w:rPr>
          <w:rFonts w:ascii="TyponineSans Reg" w:hAnsi="TyponineSans Reg"/>
          <w:szCs w:val="22"/>
        </w:rPr>
        <w:t xml:space="preserve"> </w:t>
      </w:r>
    </w:p>
    <w:p w14:paraId="30DAC689" w14:textId="77777777" w:rsidR="00756FF4" w:rsidRPr="004503CB" w:rsidRDefault="00756FF4" w:rsidP="00756FF4">
      <w:pPr>
        <w:tabs>
          <w:tab w:val="left" w:pos="4962"/>
        </w:tabs>
        <w:rPr>
          <w:rFonts w:ascii="TyponineSans Reg" w:hAnsi="TyponineSans Reg"/>
          <w:szCs w:val="22"/>
        </w:rPr>
      </w:pPr>
      <w:r w:rsidRPr="004503CB">
        <w:rPr>
          <w:rFonts w:ascii="TyponineSans Reg" w:hAnsi="TyponineSans Reg"/>
          <w:szCs w:val="22"/>
        </w:rPr>
        <w:t xml:space="preserve">                                                                                           </w:t>
      </w:r>
    </w:p>
    <w:p w14:paraId="5AA71360" w14:textId="3124CB55" w:rsidR="00697490" w:rsidRPr="00FC7FEB" w:rsidRDefault="00756FF4" w:rsidP="002873F0">
      <w:pPr>
        <w:tabs>
          <w:tab w:val="left" w:pos="4962"/>
        </w:tabs>
        <w:rPr>
          <w:rFonts w:ascii="TyponineSans Reg" w:hAnsi="TyponineSans Reg"/>
          <w:b/>
          <w:i/>
          <w:color w:val="FF0000"/>
          <w:sz w:val="24"/>
        </w:rPr>
      </w:pPr>
      <w:r w:rsidRPr="004503CB">
        <w:rPr>
          <w:rFonts w:ascii="TyponineSans Reg" w:hAnsi="TyponineSans Reg"/>
          <w:szCs w:val="22"/>
        </w:rPr>
        <w:t xml:space="preserve">                                                                                                                     Nataša Stojkovski</w:t>
      </w:r>
    </w:p>
    <w:sectPr w:rsidR="00697490" w:rsidRPr="00FC7FEB" w:rsidSect="004516D2">
      <w:headerReference w:type="even" r:id="rId17"/>
      <w:headerReference w:type="default" r:id="rId18"/>
      <w:pgSz w:w="11907" w:h="16840" w:code="9"/>
      <w:pgMar w:top="1191" w:right="851" w:bottom="964" w:left="153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2B77C" w14:textId="77777777" w:rsidR="003135C6" w:rsidRDefault="003135C6">
      <w:r>
        <w:separator/>
      </w:r>
    </w:p>
  </w:endnote>
  <w:endnote w:type="continuationSeparator" w:id="0">
    <w:p w14:paraId="6974D046" w14:textId="77777777" w:rsidR="003135C6" w:rsidRDefault="0031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yponineSans Reg">
    <w:altName w:val="Calibri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A80F5" w14:textId="77777777" w:rsidR="003135C6" w:rsidRDefault="003135C6">
      <w:r>
        <w:separator/>
      </w:r>
    </w:p>
  </w:footnote>
  <w:footnote w:type="continuationSeparator" w:id="0">
    <w:p w14:paraId="10E40FAA" w14:textId="77777777" w:rsidR="003135C6" w:rsidRDefault="00313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09B8" w14:textId="77777777" w:rsidR="001E5B6A" w:rsidRDefault="001E5B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BBBA4D" w14:textId="77777777" w:rsidR="001E5B6A" w:rsidRDefault="001E5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3D3B4" w14:textId="77777777" w:rsidR="001E5B6A" w:rsidRDefault="001E5B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24</w:t>
    </w:r>
    <w:r>
      <w:rPr>
        <w:rStyle w:val="PageNumber"/>
      </w:rPr>
      <w:fldChar w:fldCharType="end"/>
    </w:r>
  </w:p>
  <w:p w14:paraId="232D7357" w14:textId="77777777" w:rsidR="001E5B6A" w:rsidRDefault="001E5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5D7"/>
    <w:multiLevelType w:val="hybridMultilevel"/>
    <w:tmpl w:val="1206F2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115A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62C0501"/>
    <w:multiLevelType w:val="hybridMultilevel"/>
    <w:tmpl w:val="54D4B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F7B46"/>
    <w:multiLevelType w:val="hybridMultilevel"/>
    <w:tmpl w:val="0972C0C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5184"/>
    <w:multiLevelType w:val="hybridMultilevel"/>
    <w:tmpl w:val="F7D8D1A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4214E"/>
    <w:multiLevelType w:val="hybridMultilevel"/>
    <w:tmpl w:val="D33428E8"/>
    <w:lvl w:ilvl="0" w:tplc="041A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" w15:restartNumberingAfterBreak="0">
    <w:nsid w:val="0D4962C8"/>
    <w:multiLevelType w:val="hybridMultilevel"/>
    <w:tmpl w:val="9B0A57E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B0DA4"/>
    <w:multiLevelType w:val="hybridMultilevel"/>
    <w:tmpl w:val="14288B18"/>
    <w:lvl w:ilvl="0" w:tplc="035635D8">
      <w:numFmt w:val="bullet"/>
      <w:lvlText w:val="-"/>
      <w:lvlJc w:val="left"/>
      <w:pPr>
        <w:ind w:left="120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10D7429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1DF46E4"/>
    <w:multiLevelType w:val="hybridMultilevel"/>
    <w:tmpl w:val="AF4EC45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A1D23"/>
    <w:multiLevelType w:val="hybridMultilevel"/>
    <w:tmpl w:val="BE88FF9C"/>
    <w:lvl w:ilvl="0" w:tplc="316EA678">
      <w:numFmt w:val="bullet"/>
      <w:lvlText w:val="-"/>
      <w:lvlJc w:val="left"/>
      <w:pPr>
        <w:ind w:left="17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 w15:restartNumberingAfterBreak="0">
    <w:nsid w:val="160F66A3"/>
    <w:multiLevelType w:val="hybridMultilevel"/>
    <w:tmpl w:val="807C9DB0"/>
    <w:lvl w:ilvl="0" w:tplc="F69C68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662A7"/>
    <w:multiLevelType w:val="hybridMultilevel"/>
    <w:tmpl w:val="5FCC7D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9059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A4E4896"/>
    <w:multiLevelType w:val="hybridMultilevel"/>
    <w:tmpl w:val="138C4A62"/>
    <w:lvl w:ilvl="0" w:tplc="4ED4A2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F0628"/>
    <w:multiLevelType w:val="hybridMultilevel"/>
    <w:tmpl w:val="9B64FB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8252D"/>
    <w:multiLevelType w:val="hybridMultilevel"/>
    <w:tmpl w:val="DF461446"/>
    <w:lvl w:ilvl="0" w:tplc="041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22223522"/>
    <w:multiLevelType w:val="hybridMultilevel"/>
    <w:tmpl w:val="ADDEC73E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3052158"/>
    <w:multiLevelType w:val="hybridMultilevel"/>
    <w:tmpl w:val="DDEEB6E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72562"/>
    <w:multiLevelType w:val="hybridMultilevel"/>
    <w:tmpl w:val="D0DC38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B1AD8"/>
    <w:multiLevelType w:val="hybridMultilevel"/>
    <w:tmpl w:val="ADB0C71C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349483B"/>
    <w:multiLevelType w:val="hybridMultilevel"/>
    <w:tmpl w:val="F982979C"/>
    <w:lvl w:ilvl="0" w:tplc="AC04A964">
      <w:start w:val="404"/>
      <w:numFmt w:val="bullet"/>
      <w:lvlText w:val="-"/>
      <w:lvlJc w:val="left"/>
      <w:pPr>
        <w:ind w:left="133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22" w15:restartNumberingAfterBreak="0">
    <w:nsid w:val="34391AA9"/>
    <w:multiLevelType w:val="hybridMultilevel"/>
    <w:tmpl w:val="E6C479EA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7683D6D"/>
    <w:multiLevelType w:val="hybridMultilevel"/>
    <w:tmpl w:val="DC82EB00"/>
    <w:lvl w:ilvl="0" w:tplc="D67C0C5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695E95"/>
    <w:multiLevelType w:val="hybridMultilevel"/>
    <w:tmpl w:val="FA449B22"/>
    <w:lvl w:ilvl="0" w:tplc="FA96F6DC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9C332BA"/>
    <w:multiLevelType w:val="hybridMultilevel"/>
    <w:tmpl w:val="B09A9092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0C93026"/>
    <w:multiLevelType w:val="hybridMultilevel"/>
    <w:tmpl w:val="AAB6A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62904"/>
    <w:multiLevelType w:val="hybridMultilevel"/>
    <w:tmpl w:val="6D9ED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F78C5"/>
    <w:multiLevelType w:val="singleLevel"/>
    <w:tmpl w:val="08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9" w15:restartNumberingAfterBreak="0">
    <w:nsid w:val="4EE736E8"/>
    <w:multiLevelType w:val="hybridMultilevel"/>
    <w:tmpl w:val="8D7AEFE0"/>
    <w:lvl w:ilvl="0" w:tplc="5D02A708">
      <w:start w:val="40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4D75B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350773E"/>
    <w:multiLevelType w:val="hybridMultilevel"/>
    <w:tmpl w:val="AD644C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E49C3"/>
    <w:multiLevelType w:val="hybridMultilevel"/>
    <w:tmpl w:val="EA788F38"/>
    <w:lvl w:ilvl="0" w:tplc="DB54D1D0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24EFC"/>
    <w:multiLevelType w:val="hybridMultilevel"/>
    <w:tmpl w:val="DF9AD95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D610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F66090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1C22B2D"/>
    <w:multiLevelType w:val="hybridMultilevel"/>
    <w:tmpl w:val="2032937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C4BE8"/>
    <w:multiLevelType w:val="hybridMultilevel"/>
    <w:tmpl w:val="9AC4F164"/>
    <w:lvl w:ilvl="0" w:tplc="041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 w15:restartNumberingAfterBreak="0">
    <w:nsid w:val="6B736EDE"/>
    <w:multiLevelType w:val="hybridMultilevel"/>
    <w:tmpl w:val="306E32CE"/>
    <w:lvl w:ilvl="0" w:tplc="035635D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CF846DA"/>
    <w:multiLevelType w:val="hybridMultilevel"/>
    <w:tmpl w:val="C7D84F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A23D3"/>
    <w:multiLevelType w:val="hybridMultilevel"/>
    <w:tmpl w:val="FE74379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D6D55"/>
    <w:multiLevelType w:val="hybridMultilevel"/>
    <w:tmpl w:val="36D4E69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2472D"/>
    <w:multiLevelType w:val="hybridMultilevel"/>
    <w:tmpl w:val="8FA66D1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4033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D62732D"/>
    <w:multiLevelType w:val="hybridMultilevel"/>
    <w:tmpl w:val="8C56230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7427BF"/>
    <w:multiLevelType w:val="hybridMultilevel"/>
    <w:tmpl w:val="2E5866A4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47646348">
    <w:abstractNumId w:val="28"/>
  </w:num>
  <w:num w:numId="2" w16cid:durableId="1717699370">
    <w:abstractNumId w:val="8"/>
  </w:num>
  <w:num w:numId="3" w16cid:durableId="1695500431">
    <w:abstractNumId w:val="43"/>
  </w:num>
  <w:num w:numId="4" w16cid:durableId="459612618">
    <w:abstractNumId w:val="34"/>
  </w:num>
  <w:num w:numId="5" w16cid:durableId="1411582414">
    <w:abstractNumId w:val="13"/>
  </w:num>
  <w:num w:numId="6" w16cid:durableId="962492805">
    <w:abstractNumId w:val="30"/>
  </w:num>
  <w:num w:numId="7" w16cid:durableId="917711274">
    <w:abstractNumId w:val="1"/>
  </w:num>
  <w:num w:numId="8" w16cid:durableId="1926721529">
    <w:abstractNumId w:val="35"/>
  </w:num>
  <w:num w:numId="9" w16cid:durableId="282158324">
    <w:abstractNumId w:val="2"/>
  </w:num>
  <w:num w:numId="10" w16cid:durableId="1017345464">
    <w:abstractNumId w:val="11"/>
  </w:num>
  <w:num w:numId="11" w16cid:durableId="2071153541">
    <w:abstractNumId w:val="42"/>
  </w:num>
  <w:num w:numId="12" w16cid:durableId="1724597253">
    <w:abstractNumId w:val="24"/>
  </w:num>
  <w:num w:numId="13" w16cid:durableId="539979698">
    <w:abstractNumId w:val="20"/>
  </w:num>
  <w:num w:numId="14" w16cid:durableId="91780624">
    <w:abstractNumId w:val="38"/>
  </w:num>
  <w:num w:numId="15" w16cid:durableId="604656392">
    <w:abstractNumId w:val="25"/>
  </w:num>
  <w:num w:numId="16" w16cid:durableId="1599753747">
    <w:abstractNumId w:val="44"/>
  </w:num>
  <w:num w:numId="17" w16cid:durableId="279529123">
    <w:abstractNumId w:val="10"/>
  </w:num>
  <w:num w:numId="18" w16cid:durableId="1702851299">
    <w:abstractNumId w:val="14"/>
  </w:num>
  <w:num w:numId="19" w16cid:durableId="1420524096">
    <w:abstractNumId w:val="16"/>
  </w:num>
  <w:num w:numId="20" w16cid:durableId="737675964">
    <w:abstractNumId w:val="18"/>
  </w:num>
  <w:num w:numId="21" w16cid:durableId="751774934">
    <w:abstractNumId w:val="31"/>
  </w:num>
  <w:num w:numId="22" w16cid:durableId="1192911425">
    <w:abstractNumId w:val="9"/>
  </w:num>
  <w:num w:numId="23" w16cid:durableId="1417510388">
    <w:abstractNumId w:val="4"/>
  </w:num>
  <w:num w:numId="24" w16cid:durableId="1318992429">
    <w:abstractNumId w:val="36"/>
  </w:num>
  <w:num w:numId="25" w16cid:durableId="1409496808">
    <w:abstractNumId w:val="37"/>
  </w:num>
  <w:num w:numId="26" w16cid:durableId="1884100437">
    <w:abstractNumId w:val="3"/>
  </w:num>
  <w:num w:numId="27" w16cid:durableId="1987203349">
    <w:abstractNumId w:val="6"/>
  </w:num>
  <w:num w:numId="28" w16cid:durableId="1940987394">
    <w:abstractNumId w:val="7"/>
  </w:num>
  <w:num w:numId="29" w16cid:durableId="158663392">
    <w:abstractNumId w:val="22"/>
  </w:num>
  <w:num w:numId="30" w16cid:durableId="1343974410">
    <w:abstractNumId w:val="33"/>
  </w:num>
  <w:num w:numId="31" w16cid:durableId="602417940">
    <w:abstractNumId w:val="5"/>
  </w:num>
  <w:num w:numId="32" w16cid:durableId="1064334091">
    <w:abstractNumId w:val="39"/>
  </w:num>
  <w:num w:numId="33" w16cid:durableId="1006905948">
    <w:abstractNumId w:val="32"/>
  </w:num>
  <w:num w:numId="34" w16cid:durableId="1936285070">
    <w:abstractNumId w:val="41"/>
  </w:num>
  <w:num w:numId="35" w16cid:durableId="1002659361">
    <w:abstractNumId w:val="17"/>
  </w:num>
  <w:num w:numId="36" w16cid:durableId="870453704">
    <w:abstractNumId w:val="45"/>
  </w:num>
  <w:num w:numId="37" w16cid:durableId="1468354527">
    <w:abstractNumId w:val="40"/>
  </w:num>
  <w:num w:numId="38" w16cid:durableId="926159290">
    <w:abstractNumId w:val="23"/>
  </w:num>
  <w:num w:numId="39" w16cid:durableId="388190421">
    <w:abstractNumId w:val="29"/>
  </w:num>
  <w:num w:numId="40" w16cid:durableId="2037342105">
    <w:abstractNumId w:val="21"/>
  </w:num>
  <w:num w:numId="41" w16cid:durableId="375853701">
    <w:abstractNumId w:val="19"/>
  </w:num>
  <w:num w:numId="42" w16cid:durableId="1107391293">
    <w:abstractNumId w:val="15"/>
  </w:num>
  <w:num w:numId="43" w16cid:durableId="480274275">
    <w:abstractNumId w:val="12"/>
  </w:num>
  <w:num w:numId="44" w16cid:durableId="961837349">
    <w:abstractNumId w:val="27"/>
  </w:num>
  <w:num w:numId="45" w16cid:durableId="581597685">
    <w:abstractNumId w:val="0"/>
  </w:num>
  <w:num w:numId="46" w16cid:durableId="1281034092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38"/>
    <w:rsid w:val="0000014B"/>
    <w:rsid w:val="0000116A"/>
    <w:rsid w:val="00001C8A"/>
    <w:rsid w:val="00002AA8"/>
    <w:rsid w:val="00002FF7"/>
    <w:rsid w:val="000038E2"/>
    <w:rsid w:val="00003E63"/>
    <w:rsid w:val="0001136A"/>
    <w:rsid w:val="00011DA6"/>
    <w:rsid w:val="00013B6B"/>
    <w:rsid w:val="00014986"/>
    <w:rsid w:val="00015A34"/>
    <w:rsid w:val="00015DDA"/>
    <w:rsid w:val="00015F7A"/>
    <w:rsid w:val="00016BC3"/>
    <w:rsid w:val="00020A6A"/>
    <w:rsid w:val="0002123B"/>
    <w:rsid w:val="0002424D"/>
    <w:rsid w:val="000263FD"/>
    <w:rsid w:val="0002684E"/>
    <w:rsid w:val="0002742D"/>
    <w:rsid w:val="000309E4"/>
    <w:rsid w:val="00030C24"/>
    <w:rsid w:val="00033288"/>
    <w:rsid w:val="0003368C"/>
    <w:rsid w:val="00035468"/>
    <w:rsid w:val="00036B95"/>
    <w:rsid w:val="00037106"/>
    <w:rsid w:val="00037194"/>
    <w:rsid w:val="00037B86"/>
    <w:rsid w:val="00040327"/>
    <w:rsid w:val="00040A18"/>
    <w:rsid w:val="00041052"/>
    <w:rsid w:val="00043056"/>
    <w:rsid w:val="000439A5"/>
    <w:rsid w:val="00043A0A"/>
    <w:rsid w:val="000456CF"/>
    <w:rsid w:val="00045848"/>
    <w:rsid w:val="00045A49"/>
    <w:rsid w:val="00046175"/>
    <w:rsid w:val="00046243"/>
    <w:rsid w:val="0004626A"/>
    <w:rsid w:val="0004629D"/>
    <w:rsid w:val="00046757"/>
    <w:rsid w:val="0004694E"/>
    <w:rsid w:val="0004716C"/>
    <w:rsid w:val="00050757"/>
    <w:rsid w:val="00052249"/>
    <w:rsid w:val="0005249C"/>
    <w:rsid w:val="00053AD3"/>
    <w:rsid w:val="00054365"/>
    <w:rsid w:val="00055928"/>
    <w:rsid w:val="0005652C"/>
    <w:rsid w:val="00060C26"/>
    <w:rsid w:val="000612FF"/>
    <w:rsid w:val="00062EF4"/>
    <w:rsid w:val="0006426D"/>
    <w:rsid w:val="00066239"/>
    <w:rsid w:val="00067CB4"/>
    <w:rsid w:val="00073604"/>
    <w:rsid w:val="00074E73"/>
    <w:rsid w:val="00076FA3"/>
    <w:rsid w:val="000774A4"/>
    <w:rsid w:val="00080032"/>
    <w:rsid w:val="0008173F"/>
    <w:rsid w:val="00083205"/>
    <w:rsid w:val="0008358A"/>
    <w:rsid w:val="000849CE"/>
    <w:rsid w:val="00084E85"/>
    <w:rsid w:val="000850B8"/>
    <w:rsid w:val="000860D7"/>
    <w:rsid w:val="00086761"/>
    <w:rsid w:val="0008685A"/>
    <w:rsid w:val="00086B5D"/>
    <w:rsid w:val="00090B14"/>
    <w:rsid w:val="00092F04"/>
    <w:rsid w:val="000931EB"/>
    <w:rsid w:val="0009468C"/>
    <w:rsid w:val="00095224"/>
    <w:rsid w:val="00095A01"/>
    <w:rsid w:val="00095ADA"/>
    <w:rsid w:val="00096588"/>
    <w:rsid w:val="00096D43"/>
    <w:rsid w:val="000A1C35"/>
    <w:rsid w:val="000A2B51"/>
    <w:rsid w:val="000A3619"/>
    <w:rsid w:val="000A5CEC"/>
    <w:rsid w:val="000A6AD0"/>
    <w:rsid w:val="000A795F"/>
    <w:rsid w:val="000B2E87"/>
    <w:rsid w:val="000B3953"/>
    <w:rsid w:val="000B3F8D"/>
    <w:rsid w:val="000B5357"/>
    <w:rsid w:val="000B666E"/>
    <w:rsid w:val="000B669B"/>
    <w:rsid w:val="000B6A1C"/>
    <w:rsid w:val="000B6AA0"/>
    <w:rsid w:val="000B6B5F"/>
    <w:rsid w:val="000B6CC6"/>
    <w:rsid w:val="000C04A4"/>
    <w:rsid w:val="000C20CC"/>
    <w:rsid w:val="000C47B2"/>
    <w:rsid w:val="000D0C10"/>
    <w:rsid w:val="000D1772"/>
    <w:rsid w:val="000D2EC1"/>
    <w:rsid w:val="000D51CB"/>
    <w:rsid w:val="000D6737"/>
    <w:rsid w:val="000D6E3A"/>
    <w:rsid w:val="000E0C55"/>
    <w:rsid w:val="000E1833"/>
    <w:rsid w:val="000E2FC7"/>
    <w:rsid w:val="000E381D"/>
    <w:rsid w:val="000E5B7A"/>
    <w:rsid w:val="000F12F4"/>
    <w:rsid w:val="000F1F77"/>
    <w:rsid w:val="000F4CA5"/>
    <w:rsid w:val="000F6699"/>
    <w:rsid w:val="00101B5B"/>
    <w:rsid w:val="00101E64"/>
    <w:rsid w:val="00102FF3"/>
    <w:rsid w:val="00103230"/>
    <w:rsid w:val="0010336C"/>
    <w:rsid w:val="00106CFF"/>
    <w:rsid w:val="00106FC4"/>
    <w:rsid w:val="0011137D"/>
    <w:rsid w:val="001136AD"/>
    <w:rsid w:val="00114C9C"/>
    <w:rsid w:val="001152C9"/>
    <w:rsid w:val="0011576D"/>
    <w:rsid w:val="00115B95"/>
    <w:rsid w:val="00116BCA"/>
    <w:rsid w:val="00116BCC"/>
    <w:rsid w:val="00116E23"/>
    <w:rsid w:val="001174FA"/>
    <w:rsid w:val="0012176F"/>
    <w:rsid w:val="001218C9"/>
    <w:rsid w:val="00121AD3"/>
    <w:rsid w:val="00123DCC"/>
    <w:rsid w:val="00123EC5"/>
    <w:rsid w:val="00125E78"/>
    <w:rsid w:val="00126FF0"/>
    <w:rsid w:val="0012726D"/>
    <w:rsid w:val="0012771C"/>
    <w:rsid w:val="00130B6F"/>
    <w:rsid w:val="00130D71"/>
    <w:rsid w:val="00131FFB"/>
    <w:rsid w:val="0013409A"/>
    <w:rsid w:val="001368CA"/>
    <w:rsid w:val="00136B43"/>
    <w:rsid w:val="00137ADE"/>
    <w:rsid w:val="0014591D"/>
    <w:rsid w:val="00146D9A"/>
    <w:rsid w:val="001474CF"/>
    <w:rsid w:val="00153223"/>
    <w:rsid w:val="00153D76"/>
    <w:rsid w:val="00154F9C"/>
    <w:rsid w:val="0015576A"/>
    <w:rsid w:val="001558B7"/>
    <w:rsid w:val="00156B48"/>
    <w:rsid w:val="0016049E"/>
    <w:rsid w:val="00160FCD"/>
    <w:rsid w:val="00161416"/>
    <w:rsid w:val="00162E37"/>
    <w:rsid w:val="001651CF"/>
    <w:rsid w:val="00165D3B"/>
    <w:rsid w:val="001718B1"/>
    <w:rsid w:val="0017198F"/>
    <w:rsid w:val="00172843"/>
    <w:rsid w:val="001739A4"/>
    <w:rsid w:val="00174BD4"/>
    <w:rsid w:val="00175CE5"/>
    <w:rsid w:val="00176CCA"/>
    <w:rsid w:val="0017724E"/>
    <w:rsid w:val="0017741D"/>
    <w:rsid w:val="00177437"/>
    <w:rsid w:val="001800F0"/>
    <w:rsid w:val="0018038F"/>
    <w:rsid w:val="00183235"/>
    <w:rsid w:val="00183591"/>
    <w:rsid w:val="001839BC"/>
    <w:rsid w:val="00184A84"/>
    <w:rsid w:val="00184A96"/>
    <w:rsid w:val="001850B7"/>
    <w:rsid w:val="00186F7C"/>
    <w:rsid w:val="001907D3"/>
    <w:rsid w:val="00191795"/>
    <w:rsid w:val="001919EE"/>
    <w:rsid w:val="0019273C"/>
    <w:rsid w:val="00194320"/>
    <w:rsid w:val="00195094"/>
    <w:rsid w:val="001951E7"/>
    <w:rsid w:val="0019556B"/>
    <w:rsid w:val="001A02B4"/>
    <w:rsid w:val="001A1EC5"/>
    <w:rsid w:val="001A22EE"/>
    <w:rsid w:val="001A385B"/>
    <w:rsid w:val="001A3EAD"/>
    <w:rsid w:val="001A5300"/>
    <w:rsid w:val="001A5CFA"/>
    <w:rsid w:val="001A5F1D"/>
    <w:rsid w:val="001A6E4E"/>
    <w:rsid w:val="001B0084"/>
    <w:rsid w:val="001B05F5"/>
    <w:rsid w:val="001B0F06"/>
    <w:rsid w:val="001B1A97"/>
    <w:rsid w:val="001B2020"/>
    <w:rsid w:val="001B2FFC"/>
    <w:rsid w:val="001B3DD7"/>
    <w:rsid w:val="001B4EB8"/>
    <w:rsid w:val="001B501A"/>
    <w:rsid w:val="001B5847"/>
    <w:rsid w:val="001B5E0B"/>
    <w:rsid w:val="001B69CA"/>
    <w:rsid w:val="001B7BBD"/>
    <w:rsid w:val="001B7F6E"/>
    <w:rsid w:val="001C1695"/>
    <w:rsid w:val="001C18B4"/>
    <w:rsid w:val="001C39C0"/>
    <w:rsid w:val="001C536F"/>
    <w:rsid w:val="001C61E7"/>
    <w:rsid w:val="001C6B35"/>
    <w:rsid w:val="001C6D6C"/>
    <w:rsid w:val="001C6D7C"/>
    <w:rsid w:val="001C7D46"/>
    <w:rsid w:val="001D03D6"/>
    <w:rsid w:val="001D309B"/>
    <w:rsid w:val="001D4571"/>
    <w:rsid w:val="001D4EC7"/>
    <w:rsid w:val="001D657D"/>
    <w:rsid w:val="001E0234"/>
    <w:rsid w:val="001E0D53"/>
    <w:rsid w:val="001E246B"/>
    <w:rsid w:val="001E2E9B"/>
    <w:rsid w:val="001E3CAE"/>
    <w:rsid w:val="001E5B6A"/>
    <w:rsid w:val="001E6E3E"/>
    <w:rsid w:val="001F2033"/>
    <w:rsid w:val="001F399A"/>
    <w:rsid w:val="001F3FE2"/>
    <w:rsid w:val="001F5AB0"/>
    <w:rsid w:val="001F5B98"/>
    <w:rsid w:val="001F5BB4"/>
    <w:rsid w:val="001F5E33"/>
    <w:rsid w:val="00200A0B"/>
    <w:rsid w:val="00201DB3"/>
    <w:rsid w:val="00202C5A"/>
    <w:rsid w:val="00204FB3"/>
    <w:rsid w:val="0020547D"/>
    <w:rsid w:val="002056D3"/>
    <w:rsid w:val="00210EAB"/>
    <w:rsid w:val="00211030"/>
    <w:rsid w:val="00211AB3"/>
    <w:rsid w:val="00212954"/>
    <w:rsid w:val="00214CFD"/>
    <w:rsid w:val="00215A14"/>
    <w:rsid w:val="00217179"/>
    <w:rsid w:val="002175BB"/>
    <w:rsid w:val="00217FEA"/>
    <w:rsid w:val="0022165C"/>
    <w:rsid w:val="00221B04"/>
    <w:rsid w:val="00222428"/>
    <w:rsid w:val="00223C32"/>
    <w:rsid w:val="002241F0"/>
    <w:rsid w:val="002247DF"/>
    <w:rsid w:val="00224A7A"/>
    <w:rsid w:val="002250AD"/>
    <w:rsid w:val="00225CAF"/>
    <w:rsid w:val="002269E1"/>
    <w:rsid w:val="002274A3"/>
    <w:rsid w:val="00230430"/>
    <w:rsid w:val="0023105B"/>
    <w:rsid w:val="0023109A"/>
    <w:rsid w:val="00232D46"/>
    <w:rsid w:val="0023302D"/>
    <w:rsid w:val="00234682"/>
    <w:rsid w:val="002360F7"/>
    <w:rsid w:val="00236313"/>
    <w:rsid w:val="00236D6A"/>
    <w:rsid w:val="00240A0F"/>
    <w:rsid w:val="00240BC2"/>
    <w:rsid w:val="00240CFF"/>
    <w:rsid w:val="00241726"/>
    <w:rsid w:val="00242322"/>
    <w:rsid w:val="00243623"/>
    <w:rsid w:val="00243B6B"/>
    <w:rsid w:val="00243D97"/>
    <w:rsid w:val="00244622"/>
    <w:rsid w:val="00244AEA"/>
    <w:rsid w:val="0024510A"/>
    <w:rsid w:val="002454BB"/>
    <w:rsid w:val="00245940"/>
    <w:rsid w:val="002459B4"/>
    <w:rsid w:val="00245EC9"/>
    <w:rsid w:val="00246992"/>
    <w:rsid w:val="00246CD4"/>
    <w:rsid w:val="0024706C"/>
    <w:rsid w:val="00247791"/>
    <w:rsid w:val="00247CE7"/>
    <w:rsid w:val="002512C0"/>
    <w:rsid w:val="002512FC"/>
    <w:rsid w:val="00253E35"/>
    <w:rsid w:val="002540F6"/>
    <w:rsid w:val="00254E83"/>
    <w:rsid w:val="002558A2"/>
    <w:rsid w:val="00255ED0"/>
    <w:rsid w:val="00255FE1"/>
    <w:rsid w:val="002560AA"/>
    <w:rsid w:val="0025648D"/>
    <w:rsid w:val="0025737C"/>
    <w:rsid w:val="002602A3"/>
    <w:rsid w:val="00261532"/>
    <w:rsid w:val="00262341"/>
    <w:rsid w:val="00262F1B"/>
    <w:rsid w:val="0026627B"/>
    <w:rsid w:val="002669FE"/>
    <w:rsid w:val="00267E73"/>
    <w:rsid w:val="00270203"/>
    <w:rsid w:val="00271AC6"/>
    <w:rsid w:val="00271D0A"/>
    <w:rsid w:val="0027312B"/>
    <w:rsid w:val="00274C75"/>
    <w:rsid w:val="00275243"/>
    <w:rsid w:val="0027538A"/>
    <w:rsid w:val="0027764F"/>
    <w:rsid w:val="00281163"/>
    <w:rsid w:val="0028126C"/>
    <w:rsid w:val="00281891"/>
    <w:rsid w:val="00284C17"/>
    <w:rsid w:val="00286417"/>
    <w:rsid w:val="00286C8D"/>
    <w:rsid w:val="00286F2D"/>
    <w:rsid w:val="002873F0"/>
    <w:rsid w:val="0029115C"/>
    <w:rsid w:val="00291CB6"/>
    <w:rsid w:val="00292714"/>
    <w:rsid w:val="00292CBD"/>
    <w:rsid w:val="002938F9"/>
    <w:rsid w:val="002949E9"/>
    <w:rsid w:val="0029601A"/>
    <w:rsid w:val="00296048"/>
    <w:rsid w:val="002A3DAD"/>
    <w:rsid w:val="002A6391"/>
    <w:rsid w:val="002B158E"/>
    <w:rsid w:val="002B2842"/>
    <w:rsid w:val="002B2DAF"/>
    <w:rsid w:val="002B4D32"/>
    <w:rsid w:val="002B4DCD"/>
    <w:rsid w:val="002C0BFA"/>
    <w:rsid w:val="002C1276"/>
    <w:rsid w:val="002C1B65"/>
    <w:rsid w:val="002C220B"/>
    <w:rsid w:val="002C237D"/>
    <w:rsid w:val="002C3239"/>
    <w:rsid w:val="002C371E"/>
    <w:rsid w:val="002C3DD6"/>
    <w:rsid w:val="002C4B2F"/>
    <w:rsid w:val="002C51A9"/>
    <w:rsid w:val="002C6141"/>
    <w:rsid w:val="002C61B8"/>
    <w:rsid w:val="002C71AE"/>
    <w:rsid w:val="002D0C82"/>
    <w:rsid w:val="002D2C4E"/>
    <w:rsid w:val="002D34BC"/>
    <w:rsid w:val="002D3BBE"/>
    <w:rsid w:val="002D5C93"/>
    <w:rsid w:val="002D758D"/>
    <w:rsid w:val="002E0CD4"/>
    <w:rsid w:val="002E1C9C"/>
    <w:rsid w:val="002E209E"/>
    <w:rsid w:val="002E2955"/>
    <w:rsid w:val="002E438A"/>
    <w:rsid w:val="002E5CC8"/>
    <w:rsid w:val="002E64B0"/>
    <w:rsid w:val="002F2CEA"/>
    <w:rsid w:val="002F2E65"/>
    <w:rsid w:val="002F6A53"/>
    <w:rsid w:val="003008DD"/>
    <w:rsid w:val="00301196"/>
    <w:rsid w:val="003026F6"/>
    <w:rsid w:val="003027FD"/>
    <w:rsid w:val="00305869"/>
    <w:rsid w:val="00307336"/>
    <w:rsid w:val="00307E1B"/>
    <w:rsid w:val="003103EA"/>
    <w:rsid w:val="00310927"/>
    <w:rsid w:val="003110FC"/>
    <w:rsid w:val="0031295E"/>
    <w:rsid w:val="003135C6"/>
    <w:rsid w:val="00316A2D"/>
    <w:rsid w:val="003204A2"/>
    <w:rsid w:val="00320800"/>
    <w:rsid w:val="0032256C"/>
    <w:rsid w:val="00323C4A"/>
    <w:rsid w:val="0032744F"/>
    <w:rsid w:val="003303E9"/>
    <w:rsid w:val="0033269E"/>
    <w:rsid w:val="003326A4"/>
    <w:rsid w:val="00332930"/>
    <w:rsid w:val="003400CA"/>
    <w:rsid w:val="0034177B"/>
    <w:rsid w:val="00342368"/>
    <w:rsid w:val="003423DD"/>
    <w:rsid w:val="00342522"/>
    <w:rsid w:val="003435F6"/>
    <w:rsid w:val="00343A65"/>
    <w:rsid w:val="0034455F"/>
    <w:rsid w:val="00347463"/>
    <w:rsid w:val="00347A12"/>
    <w:rsid w:val="00347BE9"/>
    <w:rsid w:val="003507FC"/>
    <w:rsid w:val="00350D80"/>
    <w:rsid w:val="00350DFD"/>
    <w:rsid w:val="0035134A"/>
    <w:rsid w:val="00351FCE"/>
    <w:rsid w:val="003538D7"/>
    <w:rsid w:val="00353BE9"/>
    <w:rsid w:val="00354A65"/>
    <w:rsid w:val="00354C10"/>
    <w:rsid w:val="00354ED3"/>
    <w:rsid w:val="0035709C"/>
    <w:rsid w:val="0036091D"/>
    <w:rsid w:val="0036178C"/>
    <w:rsid w:val="003618B8"/>
    <w:rsid w:val="00362041"/>
    <w:rsid w:val="003646AC"/>
    <w:rsid w:val="003673C8"/>
    <w:rsid w:val="00367F12"/>
    <w:rsid w:val="00370458"/>
    <w:rsid w:val="00371271"/>
    <w:rsid w:val="0037160A"/>
    <w:rsid w:val="00371DF3"/>
    <w:rsid w:val="00372002"/>
    <w:rsid w:val="00372EAE"/>
    <w:rsid w:val="00374E6C"/>
    <w:rsid w:val="003778E7"/>
    <w:rsid w:val="003803FE"/>
    <w:rsid w:val="00380B03"/>
    <w:rsid w:val="0038338F"/>
    <w:rsid w:val="003833D8"/>
    <w:rsid w:val="00383923"/>
    <w:rsid w:val="003844B5"/>
    <w:rsid w:val="003847B9"/>
    <w:rsid w:val="003853BE"/>
    <w:rsid w:val="00385C7C"/>
    <w:rsid w:val="00386490"/>
    <w:rsid w:val="003878A9"/>
    <w:rsid w:val="0039155D"/>
    <w:rsid w:val="0039233A"/>
    <w:rsid w:val="00392A9C"/>
    <w:rsid w:val="00392F46"/>
    <w:rsid w:val="00393B35"/>
    <w:rsid w:val="00393E12"/>
    <w:rsid w:val="00394B4F"/>
    <w:rsid w:val="00394DDE"/>
    <w:rsid w:val="0039638E"/>
    <w:rsid w:val="00396CAD"/>
    <w:rsid w:val="003A05B4"/>
    <w:rsid w:val="003A0C1B"/>
    <w:rsid w:val="003A30DC"/>
    <w:rsid w:val="003A37AC"/>
    <w:rsid w:val="003A51AB"/>
    <w:rsid w:val="003A53D0"/>
    <w:rsid w:val="003A6816"/>
    <w:rsid w:val="003B0839"/>
    <w:rsid w:val="003B1AA3"/>
    <w:rsid w:val="003B1B66"/>
    <w:rsid w:val="003B1EDE"/>
    <w:rsid w:val="003B29C6"/>
    <w:rsid w:val="003B2E0E"/>
    <w:rsid w:val="003B5740"/>
    <w:rsid w:val="003B75EE"/>
    <w:rsid w:val="003B7F69"/>
    <w:rsid w:val="003C001A"/>
    <w:rsid w:val="003C08C3"/>
    <w:rsid w:val="003C0DB2"/>
    <w:rsid w:val="003C3252"/>
    <w:rsid w:val="003C4100"/>
    <w:rsid w:val="003C630C"/>
    <w:rsid w:val="003C7628"/>
    <w:rsid w:val="003C7D2D"/>
    <w:rsid w:val="003D09BC"/>
    <w:rsid w:val="003D0B58"/>
    <w:rsid w:val="003D131F"/>
    <w:rsid w:val="003D1DAE"/>
    <w:rsid w:val="003D2AAD"/>
    <w:rsid w:val="003D47EC"/>
    <w:rsid w:val="003D6179"/>
    <w:rsid w:val="003D79DD"/>
    <w:rsid w:val="003E0B71"/>
    <w:rsid w:val="003E143D"/>
    <w:rsid w:val="003E1682"/>
    <w:rsid w:val="003E2F35"/>
    <w:rsid w:val="003E4595"/>
    <w:rsid w:val="003E5101"/>
    <w:rsid w:val="003E5581"/>
    <w:rsid w:val="003F0C1E"/>
    <w:rsid w:val="003F0CDC"/>
    <w:rsid w:val="003F256F"/>
    <w:rsid w:val="003F2FDE"/>
    <w:rsid w:val="003F4321"/>
    <w:rsid w:val="003F4AFC"/>
    <w:rsid w:val="003F5131"/>
    <w:rsid w:val="003F5A46"/>
    <w:rsid w:val="003F5D8E"/>
    <w:rsid w:val="003F7784"/>
    <w:rsid w:val="003F7D0C"/>
    <w:rsid w:val="00400CFE"/>
    <w:rsid w:val="004024BF"/>
    <w:rsid w:val="00405971"/>
    <w:rsid w:val="00406359"/>
    <w:rsid w:val="00410A1C"/>
    <w:rsid w:val="00411652"/>
    <w:rsid w:val="00414B7C"/>
    <w:rsid w:val="00415A5E"/>
    <w:rsid w:val="004165B3"/>
    <w:rsid w:val="004174DD"/>
    <w:rsid w:val="004200B3"/>
    <w:rsid w:val="00420B87"/>
    <w:rsid w:val="00420D4F"/>
    <w:rsid w:val="004259F5"/>
    <w:rsid w:val="0043161F"/>
    <w:rsid w:val="004358BD"/>
    <w:rsid w:val="00437CA9"/>
    <w:rsid w:val="00441E83"/>
    <w:rsid w:val="0044206F"/>
    <w:rsid w:val="0044266B"/>
    <w:rsid w:val="004438CD"/>
    <w:rsid w:val="00443BFA"/>
    <w:rsid w:val="00446AF1"/>
    <w:rsid w:val="00447129"/>
    <w:rsid w:val="004478DB"/>
    <w:rsid w:val="00447F82"/>
    <w:rsid w:val="004503CB"/>
    <w:rsid w:val="004516D2"/>
    <w:rsid w:val="00451787"/>
    <w:rsid w:val="00453006"/>
    <w:rsid w:val="0045316D"/>
    <w:rsid w:val="00453F44"/>
    <w:rsid w:val="00454180"/>
    <w:rsid w:val="004556EF"/>
    <w:rsid w:val="0045706A"/>
    <w:rsid w:val="00457CBC"/>
    <w:rsid w:val="00460A41"/>
    <w:rsid w:val="0046336E"/>
    <w:rsid w:val="00464CB8"/>
    <w:rsid w:val="004655FE"/>
    <w:rsid w:val="004658FB"/>
    <w:rsid w:val="00466BE4"/>
    <w:rsid w:val="004714FE"/>
    <w:rsid w:val="00471F6D"/>
    <w:rsid w:val="00471FB0"/>
    <w:rsid w:val="00472B03"/>
    <w:rsid w:val="00473F5A"/>
    <w:rsid w:val="00474685"/>
    <w:rsid w:val="00475DE2"/>
    <w:rsid w:val="00475FF3"/>
    <w:rsid w:val="0047657D"/>
    <w:rsid w:val="004770FF"/>
    <w:rsid w:val="004804D1"/>
    <w:rsid w:val="00481078"/>
    <w:rsid w:val="004833BC"/>
    <w:rsid w:val="00483CA2"/>
    <w:rsid w:val="004841EF"/>
    <w:rsid w:val="0048427D"/>
    <w:rsid w:val="00484B8E"/>
    <w:rsid w:val="004861C6"/>
    <w:rsid w:val="00486A2D"/>
    <w:rsid w:val="00487069"/>
    <w:rsid w:val="004877EB"/>
    <w:rsid w:val="004919F9"/>
    <w:rsid w:val="00491F5B"/>
    <w:rsid w:val="004936AC"/>
    <w:rsid w:val="00494626"/>
    <w:rsid w:val="0049670D"/>
    <w:rsid w:val="00496842"/>
    <w:rsid w:val="00496CA1"/>
    <w:rsid w:val="00497AB1"/>
    <w:rsid w:val="004A0085"/>
    <w:rsid w:val="004A1C1E"/>
    <w:rsid w:val="004A2DE0"/>
    <w:rsid w:val="004A41D6"/>
    <w:rsid w:val="004A44D4"/>
    <w:rsid w:val="004A4699"/>
    <w:rsid w:val="004A54A5"/>
    <w:rsid w:val="004A56B9"/>
    <w:rsid w:val="004B0B67"/>
    <w:rsid w:val="004B0C26"/>
    <w:rsid w:val="004B3847"/>
    <w:rsid w:val="004B4AC2"/>
    <w:rsid w:val="004B5AA9"/>
    <w:rsid w:val="004B7BC5"/>
    <w:rsid w:val="004B7E05"/>
    <w:rsid w:val="004C1568"/>
    <w:rsid w:val="004C16C1"/>
    <w:rsid w:val="004C33DE"/>
    <w:rsid w:val="004C4745"/>
    <w:rsid w:val="004C55D7"/>
    <w:rsid w:val="004C6845"/>
    <w:rsid w:val="004C6E6B"/>
    <w:rsid w:val="004C7C2D"/>
    <w:rsid w:val="004C7D36"/>
    <w:rsid w:val="004D1A7A"/>
    <w:rsid w:val="004D1DFE"/>
    <w:rsid w:val="004D259B"/>
    <w:rsid w:val="004D3F23"/>
    <w:rsid w:val="004D67D4"/>
    <w:rsid w:val="004D7F05"/>
    <w:rsid w:val="004D7F17"/>
    <w:rsid w:val="004E0F5D"/>
    <w:rsid w:val="004E2765"/>
    <w:rsid w:val="004E58A7"/>
    <w:rsid w:val="004E5904"/>
    <w:rsid w:val="004E71E2"/>
    <w:rsid w:val="004E743D"/>
    <w:rsid w:val="004F02FF"/>
    <w:rsid w:val="004F0B2A"/>
    <w:rsid w:val="004F154A"/>
    <w:rsid w:val="004F17F0"/>
    <w:rsid w:val="004F1B1B"/>
    <w:rsid w:val="004F2825"/>
    <w:rsid w:val="004F4B99"/>
    <w:rsid w:val="004F4F7A"/>
    <w:rsid w:val="004F5206"/>
    <w:rsid w:val="004F7D16"/>
    <w:rsid w:val="0050283E"/>
    <w:rsid w:val="00502A32"/>
    <w:rsid w:val="00503EDD"/>
    <w:rsid w:val="00504FFA"/>
    <w:rsid w:val="005065FC"/>
    <w:rsid w:val="00506654"/>
    <w:rsid w:val="00506C9E"/>
    <w:rsid w:val="005070D2"/>
    <w:rsid w:val="00507C31"/>
    <w:rsid w:val="00511DEE"/>
    <w:rsid w:val="00513503"/>
    <w:rsid w:val="0051564A"/>
    <w:rsid w:val="00515F56"/>
    <w:rsid w:val="0051680F"/>
    <w:rsid w:val="00516920"/>
    <w:rsid w:val="00516C21"/>
    <w:rsid w:val="00517445"/>
    <w:rsid w:val="00517D29"/>
    <w:rsid w:val="00521880"/>
    <w:rsid w:val="00521F90"/>
    <w:rsid w:val="005227C5"/>
    <w:rsid w:val="00523DD3"/>
    <w:rsid w:val="00524F79"/>
    <w:rsid w:val="005258B2"/>
    <w:rsid w:val="0052713E"/>
    <w:rsid w:val="0053087D"/>
    <w:rsid w:val="00530AF6"/>
    <w:rsid w:val="00530F2E"/>
    <w:rsid w:val="00530F32"/>
    <w:rsid w:val="00533019"/>
    <w:rsid w:val="00534361"/>
    <w:rsid w:val="0053732C"/>
    <w:rsid w:val="00544BC5"/>
    <w:rsid w:val="00546738"/>
    <w:rsid w:val="00546D87"/>
    <w:rsid w:val="00551620"/>
    <w:rsid w:val="0055194C"/>
    <w:rsid w:val="00552005"/>
    <w:rsid w:val="005520DC"/>
    <w:rsid w:val="00554375"/>
    <w:rsid w:val="00554B3A"/>
    <w:rsid w:val="0055545E"/>
    <w:rsid w:val="005566D9"/>
    <w:rsid w:val="00556C1C"/>
    <w:rsid w:val="0055796F"/>
    <w:rsid w:val="00557BEA"/>
    <w:rsid w:val="00557E0C"/>
    <w:rsid w:val="00565F48"/>
    <w:rsid w:val="00566183"/>
    <w:rsid w:val="00566C67"/>
    <w:rsid w:val="00566E42"/>
    <w:rsid w:val="00566F6D"/>
    <w:rsid w:val="0056792F"/>
    <w:rsid w:val="00567B6F"/>
    <w:rsid w:val="00567E2E"/>
    <w:rsid w:val="00570724"/>
    <w:rsid w:val="005712E6"/>
    <w:rsid w:val="005730D8"/>
    <w:rsid w:val="00574D0B"/>
    <w:rsid w:val="00575558"/>
    <w:rsid w:val="00576404"/>
    <w:rsid w:val="00577DB9"/>
    <w:rsid w:val="00580805"/>
    <w:rsid w:val="005811D9"/>
    <w:rsid w:val="005827F3"/>
    <w:rsid w:val="0058293D"/>
    <w:rsid w:val="00584407"/>
    <w:rsid w:val="00586014"/>
    <w:rsid w:val="00586196"/>
    <w:rsid w:val="00587C60"/>
    <w:rsid w:val="00587FED"/>
    <w:rsid w:val="00591408"/>
    <w:rsid w:val="005931C9"/>
    <w:rsid w:val="00594382"/>
    <w:rsid w:val="0059451E"/>
    <w:rsid w:val="0059483F"/>
    <w:rsid w:val="00597ECC"/>
    <w:rsid w:val="00597F84"/>
    <w:rsid w:val="005A24F7"/>
    <w:rsid w:val="005A397B"/>
    <w:rsid w:val="005A3F74"/>
    <w:rsid w:val="005A54F2"/>
    <w:rsid w:val="005A73D7"/>
    <w:rsid w:val="005B0BF8"/>
    <w:rsid w:val="005B1EF2"/>
    <w:rsid w:val="005B3AD9"/>
    <w:rsid w:val="005B4314"/>
    <w:rsid w:val="005C05BF"/>
    <w:rsid w:val="005C141C"/>
    <w:rsid w:val="005C17F0"/>
    <w:rsid w:val="005C1ED8"/>
    <w:rsid w:val="005C29F3"/>
    <w:rsid w:val="005C3600"/>
    <w:rsid w:val="005C6FBB"/>
    <w:rsid w:val="005C71B6"/>
    <w:rsid w:val="005C727D"/>
    <w:rsid w:val="005D1475"/>
    <w:rsid w:val="005D1E9B"/>
    <w:rsid w:val="005D314C"/>
    <w:rsid w:val="005D3FCA"/>
    <w:rsid w:val="005D50F0"/>
    <w:rsid w:val="005D5191"/>
    <w:rsid w:val="005D5BD9"/>
    <w:rsid w:val="005D7820"/>
    <w:rsid w:val="005E2AE6"/>
    <w:rsid w:val="005E3FA6"/>
    <w:rsid w:val="005E416D"/>
    <w:rsid w:val="005E575F"/>
    <w:rsid w:val="005E5B62"/>
    <w:rsid w:val="005E6CE8"/>
    <w:rsid w:val="005E6FCF"/>
    <w:rsid w:val="005E74BF"/>
    <w:rsid w:val="005F0B6C"/>
    <w:rsid w:val="005F200B"/>
    <w:rsid w:val="005F237A"/>
    <w:rsid w:val="005F2FB4"/>
    <w:rsid w:val="005F38A1"/>
    <w:rsid w:val="005F3BEB"/>
    <w:rsid w:val="005F475C"/>
    <w:rsid w:val="005F5391"/>
    <w:rsid w:val="00601137"/>
    <w:rsid w:val="00601937"/>
    <w:rsid w:val="00601D42"/>
    <w:rsid w:val="00602589"/>
    <w:rsid w:val="0060512A"/>
    <w:rsid w:val="006058E2"/>
    <w:rsid w:val="00611976"/>
    <w:rsid w:val="00612325"/>
    <w:rsid w:val="0061256E"/>
    <w:rsid w:val="00613081"/>
    <w:rsid w:val="0061487D"/>
    <w:rsid w:val="00615140"/>
    <w:rsid w:val="006160FD"/>
    <w:rsid w:val="006170D2"/>
    <w:rsid w:val="006179F8"/>
    <w:rsid w:val="00617C0D"/>
    <w:rsid w:val="00620A69"/>
    <w:rsid w:val="006211CC"/>
    <w:rsid w:val="00622C07"/>
    <w:rsid w:val="00622CC2"/>
    <w:rsid w:val="00623B77"/>
    <w:rsid w:val="00623F8D"/>
    <w:rsid w:val="006266BF"/>
    <w:rsid w:val="00630B78"/>
    <w:rsid w:val="00630DAA"/>
    <w:rsid w:val="0063115E"/>
    <w:rsid w:val="00632A12"/>
    <w:rsid w:val="00633120"/>
    <w:rsid w:val="00633E61"/>
    <w:rsid w:val="006341C9"/>
    <w:rsid w:val="00635768"/>
    <w:rsid w:val="006360D7"/>
    <w:rsid w:val="00636E45"/>
    <w:rsid w:val="00642A9C"/>
    <w:rsid w:val="0064388A"/>
    <w:rsid w:val="00643929"/>
    <w:rsid w:val="0064465B"/>
    <w:rsid w:val="0064634E"/>
    <w:rsid w:val="00651DD6"/>
    <w:rsid w:val="006529AE"/>
    <w:rsid w:val="00652A2D"/>
    <w:rsid w:val="00652A45"/>
    <w:rsid w:val="006539E1"/>
    <w:rsid w:val="00654D2E"/>
    <w:rsid w:val="00656E79"/>
    <w:rsid w:val="0065711C"/>
    <w:rsid w:val="00657EC6"/>
    <w:rsid w:val="00666480"/>
    <w:rsid w:val="006670A3"/>
    <w:rsid w:val="00667BBB"/>
    <w:rsid w:val="006714BD"/>
    <w:rsid w:val="00673747"/>
    <w:rsid w:val="006757BA"/>
    <w:rsid w:val="006758FA"/>
    <w:rsid w:val="006770E6"/>
    <w:rsid w:val="0068041B"/>
    <w:rsid w:val="00680B2F"/>
    <w:rsid w:val="00681E47"/>
    <w:rsid w:val="00682305"/>
    <w:rsid w:val="0068333D"/>
    <w:rsid w:val="006834B2"/>
    <w:rsid w:val="0068559A"/>
    <w:rsid w:val="00686D90"/>
    <w:rsid w:val="006872B2"/>
    <w:rsid w:val="0069042C"/>
    <w:rsid w:val="00691314"/>
    <w:rsid w:val="00691504"/>
    <w:rsid w:val="0069200E"/>
    <w:rsid w:val="006923E3"/>
    <w:rsid w:val="00697490"/>
    <w:rsid w:val="006A0AC9"/>
    <w:rsid w:val="006A0CBD"/>
    <w:rsid w:val="006A0E00"/>
    <w:rsid w:val="006A6252"/>
    <w:rsid w:val="006A674D"/>
    <w:rsid w:val="006A7A45"/>
    <w:rsid w:val="006B169A"/>
    <w:rsid w:val="006B21AF"/>
    <w:rsid w:val="006B2703"/>
    <w:rsid w:val="006B33E5"/>
    <w:rsid w:val="006B35E7"/>
    <w:rsid w:val="006B36F3"/>
    <w:rsid w:val="006B3FE5"/>
    <w:rsid w:val="006B459B"/>
    <w:rsid w:val="006B50A4"/>
    <w:rsid w:val="006B733F"/>
    <w:rsid w:val="006C0842"/>
    <w:rsid w:val="006C4487"/>
    <w:rsid w:val="006C4B27"/>
    <w:rsid w:val="006C4B6F"/>
    <w:rsid w:val="006C5F5F"/>
    <w:rsid w:val="006C6D31"/>
    <w:rsid w:val="006C7E4A"/>
    <w:rsid w:val="006D0A73"/>
    <w:rsid w:val="006D2E6E"/>
    <w:rsid w:val="006D525F"/>
    <w:rsid w:val="006D56B8"/>
    <w:rsid w:val="006D59F2"/>
    <w:rsid w:val="006D7E73"/>
    <w:rsid w:val="006E0030"/>
    <w:rsid w:val="006E0952"/>
    <w:rsid w:val="006E0E71"/>
    <w:rsid w:val="006E6322"/>
    <w:rsid w:val="006E6A1E"/>
    <w:rsid w:val="006E6D74"/>
    <w:rsid w:val="006F0622"/>
    <w:rsid w:val="006F0840"/>
    <w:rsid w:val="006F08F2"/>
    <w:rsid w:val="006F0B77"/>
    <w:rsid w:val="006F1DD1"/>
    <w:rsid w:val="006F3F55"/>
    <w:rsid w:val="006F7337"/>
    <w:rsid w:val="006F7B4A"/>
    <w:rsid w:val="006F7BBC"/>
    <w:rsid w:val="007004B2"/>
    <w:rsid w:val="0070248A"/>
    <w:rsid w:val="00702F9C"/>
    <w:rsid w:val="00705957"/>
    <w:rsid w:val="00706ED1"/>
    <w:rsid w:val="0070712F"/>
    <w:rsid w:val="0070735F"/>
    <w:rsid w:val="00707C2E"/>
    <w:rsid w:val="00710F91"/>
    <w:rsid w:val="007118F6"/>
    <w:rsid w:val="007134C7"/>
    <w:rsid w:val="00714775"/>
    <w:rsid w:val="00714EF9"/>
    <w:rsid w:val="00715E7A"/>
    <w:rsid w:val="0072038A"/>
    <w:rsid w:val="00722FCD"/>
    <w:rsid w:val="00723A45"/>
    <w:rsid w:val="007243F4"/>
    <w:rsid w:val="007263D0"/>
    <w:rsid w:val="00730A90"/>
    <w:rsid w:val="00731059"/>
    <w:rsid w:val="00731FCF"/>
    <w:rsid w:val="00734D78"/>
    <w:rsid w:val="0073515F"/>
    <w:rsid w:val="00736EEF"/>
    <w:rsid w:val="007377F3"/>
    <w:rsid w:val="007403BF"/>
    <w:rsid w:val="00740933"/>
    <w:rsid w:val="007433EC"/>
    <w:rsid w:val="00743D93"/>
    <w:rsid w:val="00744246"/>
    <w:rsid w:val="007472F3"/>
    <w:rsid w:val="00750CCC"/>
    <w:rsid w:val="00752053"/>
    <w:rsid w:val="0075300C"/>
    <w:rsid w:val="00753290"/>
    <w:rsid w:val="00756FF4"/>
    <w:rsid w:val="0075722D"/>
    <w:rsid w:val="007579C2"/>
    <w:rsid w:val="00760F75"/>
    <w:rsid w:val="00760FDE"/>
    <w:rsid w:val="007617C5"/>
    <w:rsid w:val="00764575"/>
    <w:rsid w:val="00764699"/>
    <w:rsid w:val="00764911"/>
    <w:rsid w:val="00765EB7"/>
    <w:rsid w:val="00766546"/>
    <w:rsid w:val="00770B8C"/>
    <w:rsid w:val="00776110"/>
    <w:rsid w:val="00776CDE"/>
    <w:rsid w:val="00780835"/>
    <w:rsid w:val="0078362A"/>
    <w:rsid w:val="00784D1A"/>
    <w:rsid w:val="0079009D"/>
    <w:rsid w:val="00791FD0"/>
    <w:rsid w:val="00793A50"/>
    <w:rsid w:val="00793EAD"/>
    <w:rsid w:val="0079537A"/>
    <w:rsid w:val="00795EE8"/>
    <w:rsid w:val="007A0346"/>
    <w:rsid w:val="007A246B"/>
    <w:rsid w:val="007A3040"/>
    <w:rsid w:val="007A3107"/>
    <w:rsid w:val="007A54C7"/>
    <w:rsid w:val="007A5965"/>
    <w:rsid w:val="007A5EF3"/>
    <w:rsid w:val="007B1AF9"/>
    <w:rsid w:val="007B43DA"/>
    <w:rsid w:val="007B4B07"/>
    <w:rsid w:val="007B60E9"/>
    <w:rsid w:val="007C50FC"/>
    <w:rsid w:val="007C661D"/>
    <w:rsid w:val="007C6986"/>
    <w:rsid w:val="007C757C"/>
    <w:rsid w:val="007C7AE2"/>
    <w:rsid w:val="007C7B6B"/>
    <w:rsid w:val="007C7EAF"/>
    <w:rsid w:val="007D0325"/>
    <w:rsid w:val="007D098B"/>
    <w:rsid w:val="007D250F"/>
    <w:rsid w:val="007D3172"/>
    <w:rsid w:val="007D6FFC"/>
    <w:rsid w:val="007D7DFF"/>
    <w:rsid w:val="007E0EAB"/>
    <w:rsid w:val="007E41FF"/>
    <w:rsid w:val="007E4435"/>
    <w:rsid w:val="007E4492"/>
    <w:rsid w:val="007E4778"/>
    <w:rsid w:val="007E4E3A"/>
    <w:rsid w:val="007E6073"/>
    <w:rsid w:val="007E659A"/>
    <w:rsid w:val="007E79D4"/>
    <w:rsid w:val="007E7D98"/>
    <w:rsid w:val="007F1918"/>
    <w:rsid w:val="007F297E"/>
    <w:rsid w:val="007F2B6C"/>
    <w:rsid w:val="007F331C"/>
    <w:rsid w:val="00800451"/>
    <w:rsid w:val="008064B6"/>
    <w:rsid w:val="008107F5"/>
    <w:rsid w:val="00810C1E"/>
    <w:rsid w:val="00810D8E"/>
    <w:rsid w:val="00813BF9"/>
    <w:rsid w:val="008156E0"/>
    <w:rsid w:val="008159CE"/>
    <w:rsid w:val="00816C8A"/>
    <w:rsid w:val="0081768D"/>
    <w:rsid w:val="008177FC"/>
    <w:rsid w:val="00817DE4"/>
    <w:rsid w:val="00820379"/>
    <w:rsid w:val="00821CA7"/>
    <w:rsid w:val="00822163"/>
    <w:rsid w:val="008221A8"/>
    <w:rsid w:val="00822C82"/>
    <w:rsid w:val="008230F5"/>
    <w:rsid w:val="00825101"/>
    <w:rsid w:val="0082581A"/>
    <w:rsid w:val="00825A52"/>
    <w:rsid w:val="00825B3B"/>
    <w:rsid w:val="00827E01"/>
    <w:rsid w:val="00830336"/>
    <w:rsid w:val="0083397C"/>
    <w:rsid w:val="00835B68"/>
    <w:rsid w:val="00835F35"/>
    <w:rsid w:val="00840CD6"/>
    <w:rsid w:val="00841229"/>
    <w:rsid w:val="00845778"/>
    <w:rsid w:val="00845F49"/>
    <w:rsid w:val="00845F55"/>
    <w:rsid w:val="00850038"/>
    <w:rsid w:val="00850F49"/>
    <w:rsid w:val="008516D5"/>
    <w:rsid w:val="0085531D"/>
    <w:rsid w:val="00855A41"/>
    <w:rsid w:val="008569EA"/>
    <w:rsid w:val="00856D38"/>
    <w:rsid w:val="00856FFF"/>
    <w:rsid w:val="0086038A"/>
    <w:rsid w:val="0086050B"/>
    <w:rsid w:val="00862022"/>
    <w:rsid w:val="00862024"/>
    <w:rsid w:val="00862D0E"/>
    <w:rsid w:val="00865C3B"/>
    <w:rsid w:val="00871FD1"/>
    <w:rsid w:val="008726B2"/>
    <w:rsid w:val="008727E7"/>
    <w:rsid w:val="00874052"/>
    <w:rsid w:val="00874557"/>
    <w:rsid w:val="00875290"/>
    <w:rsid w:val="008813D5"/>
    <w:rsid w:val="008838B7"/>
    <w:rsid w:val="00884317"/>
    <w:rsid w:val="008845B1"/>
    <w:rsid w:val="008856A5"/>
    <w:rsid w:val="00885D33"/>
    <w:rsid w:val="0088790E"/>
    <w:rsid w:val="0089063D"/>
    <w:rsid w:val="00893690"/>
    <w:rsid w:val="0089458B"/>
    <w:rsid w:val="00896278"/>
    <w:rsid w:val="008A15A9"/>
    <w:rsid w:val="008A1B88"/>
    <w:rsid w:val="008A1C0F"/>
    <w:rsid w:val="008A4429"/>
    <w:rsid w:val="008A63BD"/>
    <w:rsid w:val="008A6ADD"/>
    <w:rsid w:val="008A6EAD"/>
    <w:rsid w:val="008A7713"/>
    <w:rsid w:val="008B28D3"/>
    <w:rsid w:val="008B2E40"/>
    <w:rsid w:val="008B5094"/>
    <w:rsid w:val="008B521D"/>
    <w:rsid w:val="008C1A2E"/>
    <w:rsid w:val="008C3072"/>
    <w:rsid w:val="008C4638"/>
    <w:rsid w:val="008C5DBF"/>
    <w:rsid w:val="008C611F"/>
    <w:rsid w:val="008C7D0C"/>
    <w:rsid w:val="008D1A75"/>
    <w:rsid w:val="008D2E64"/>
    <w:rsid w:val="008D46F2"/>
    <w:rsid w:val="008D486D"/>
    <w:rsid w:val="008D4FDD"/>
    <w:rsid w:val="008D5E62"/>
    <w:rsid w:val="008D70FD"/>
    <w:rsid w:val="008E08EC"/>
    <w:rsid w:val="008E1A3B"/>
    <w:rsid w:val="008E1A79"/>
    <w:rsid w:val="008E20C5"/>
    <w:rsid w:val="008E2CFB"/>
    <w:rsid w:val="008E3C3F"/>
    <w:rsid w:val="008F07B1"/>
    <w:rsid w:val="008F2339"/>
    <w:rsid w:val="008F28F3"/>
    <w:rsid w:val="008F2F45"/>
    <w:rsid w:val="008F411E"/>
    <w:rsid w:val="008F4159"/>
    <w:rsid w:val="008F63B9"/>
    <w:rsid w:val="008F6CCA"/>
    <w:rsid w:val="008F6F66"/>
    <w:rsid w:val="009027AE"/>
    <w:rsid w:val="00902CBF"/>
    <w:rsid w:val="00903840"/>
    <w:rsid w:val="00903F24"/>
    <w:rsid w:val="009042AD"/>
    <w:rsid w:val="00904A86"/>
    <w:rsid w:val="0090719D"/>
    <w:rsid w:val="00911AEF"/>
    <w:rsid w:val="00915AAC"/>
    <w:rsid w:val="00915C03"/>
    <w:rsid w:val="00916289"/>
    <w:rsid w:val="009165C1"/>
    <w:rsid w:val="0091666B"/>
    <w:rsid w:val="009205D5"/>
    <w:rsid w:val="00921225"/>
    <w:rsid w:val="00921577"/>
    <w:rsid w:val="00922659"/>
    <w:rsid w:val="009231FE"/>
    <w:rsid w:val="00925446"/>
    <w:rsid w:val="0093031E"/>
    <w:rsid w:val="009314BA"/>
    <w:rsid w:val="00931AB7"/>
    <w:rsid w:val="00932236"/>
    <w:rsid w:val="0093229C"/>
    <w:rsid w:val="009338A9"/>
    <w:rsid w:val="00933CB6"/>
    <w:rsid w:val="00933F74"/>
    <w:rsid w:val="0093401A"/>
    <w:rsid w:val="009345D5"/>
    <w:rsid w:val="00936D99"/>
    <w:rsid w:val="00937574"/>
    <w:rsid w:val="00937C0B"/>
    <w:rsid w:val="00941FB9"/>
    <w:rsid w:val="009429B8"/>
    <w:rsid w:val="00942D65"/>
    <w:rsid w:val="00942E19"/>
    <w:rsid w:val="00944188"/>
    <w:rsid w:val="009444D5"/>
    <w:rsid w:val="0094709B"/>
    <w:rsid w:val="00947D9C"/>
    <w:rsid w:val="00950C02"/>
    <w:rsid w:val="00951F92"/>
    <w:rsid w:val="00953D13"/>
    <w:rsid w:val="00953D21"/>
    <w:rsid w:val="00954C52"/>
    <w:rsid w:val="009559BD"/>
    <w:rsid w:val="009608B2"/>
    <w:rsid w:val="00963E26"/>
    <w:rsid w:val="00967F5D"/>
    <w:rsid w:val="00970192"/>
    <w:rsid w:val="00971381"/>
    <w:rsid w:val="00971F5E"/>
    <w:rsid w:val="00972FCA"/>
    <w:rsid w:val="0097520C"/>
    <w:rsid w:val="00975223"/>
    <w:rsid w:val="009757C4"/>
    <w:rsid w:val="00975BF7"/>
    <w:rsid w:val="00975EE8"/>
    <w:rsid w:val="009760FC"/>
    <w:rsid w:val="009761AC"/>
    <w:rsid w:val="00981974"/>
    <w:rsid w:val="00982434"/>
    <w:rsid w:val="00982442"/>
    <w:rsid w:val="00982D51"/>
    <w:rsid w:val="0098306A"/>
    <w:rsid w:val="00983159"/>
    <w:rsid w:val="00983275"/>
    <w:rsid w:val="009840B0"/>
    <w:rsid w:val="00985760"/>
    <w:rsid w:val="0098656B"/>
    <w:rsid w:val="0098696A"/>
    <w:rsid w:val="00987476"/>
    <w:rsid w:val="0098790E"/>
    <w:rsid w:val="00990142"/>
    <w:rsid w:val="00991BC8"/>
    <w:rsid w:val="009928CF"/>
    <w:rsid w:val="00992CDE"/>
    <w:rsid w:val="00994019"/>
    <w:rsid w:val="009945B6"/>
    <w:rsid w:val="0099490E"/>
    <w:rsid w:val="00996163"/>
    <w:rsid w:val="00996AD5"/>
    <w:rsid w:val="009977ED"/>
    <w:rsid w:val="009A0435"/>
    <w:rsid w:val="009A2426"/>
    <w:rsid w:val="009A38A9"/>
    <w:rsid w:val="009A577E"/>
    <w:rsid w:val="009A6107"/>
    <w:rsid w:val="009B01C8"/>
    <w:rsid w:val="009B153D"/>
    <w:rsid w:val="009B163E"/>
    <w:rsid w:val="009B27F7"/>
    <w:rsid w:val="009B47F9"/>
    <w:rsid w:val="009B50EE"/>
    <w:rsid w:val="009B577C"/>
    <w:rsid w:val="009B63F7"/>
    <w:rsid w:val="009C049B"/>
    <w:rsid w:val="009C1367"/>
    <w:rsid w:val="009C280D"/>
    <w:rsid w:val="009C2DE2"/>
    <w:rsid w:val="009D18BE"/>
    <w:rsid w:val="009D30D6"/>
    <w:rsid w:val="009D3BE4"/>
    <w:rsid w:val="009D4710"/>
    <w:rsid w:val="009D5BB1"/>
    <w:rsid w:val="009D6661"/>
    <w:rsid w:val="009D71CA"/>
    <w:rsid w:val="009E0EED"/>
    <w:rsid w:val="009E17CE"/>
    <w:rsid w:val="009E1D3D"/>
    <w:rsid w:val="009E1FA0"/>
    <w:rsid w:val="009E238B"/>
    <w:rsid w:val="009E2461"/>
    <w:rsid w:val="009E3779"/>
    <w:rsid w:val="009E3E99"/>
    <w:rsid w:val="009E47AA"/>
    <w:rsid w:val="009E4C61"/>
    <w:rsid w:val="009E4FF4"/>
    <w:rsid w:val="009E639B"/>
    <w:rsid w:val="009E6704"/>
    <w:rsid w:val="009E7C46"/>
    <w:rsid w:val="009F01EC"/>
    <w:rsid w:val="009F0297"/>
    <w:rsid w:val="009F03CD"/>
    <w:rsid w:val="009F163E"/>
    <w:rsid w:val="009F21D7"/>
    <w:rsid w:val="009F474D"/>
    <w:rsid w:val="00A00CA8"/>
    <w:rsid w:val="00A01432"/>
    <w:rsid w:val="00A01AD4"/>
    <w:rsid w:val="00A01F78"/>
    <w:rsid w:val="00A026AB"/>
    <w:rsid w:val="00A02735"/>
    <w:rsid w:val="00A02D85"/>
    <w:rsid w:val="00A03539"/>
    <w:rsid w:val="00A04484"/>
    <w:rsid w:val="00A047EE"/>
    <w:rsid w:val="00A1030D"/>
    <w:rsid w:val="00A1045D"/>
    <w:rsid w:val="00A1426A"/>
    <w:rsid w:val="00A1592A"/>
    <w:rsid w:val="00A1669B"/>
    <w:rsid w:val="00A16A42"/>
    <w:rsid w:val="00A20BD7"/>
    <w:rsid w:val="00A22685"/>
    <w:rsid w:val="00A22DB0"/>
    <w:rsid w:val="00A23939"/>
    <w:rsid w:val="00A24054"/>
    <w:rsid w:val="00A26B2D"/>
    <w:rsid w:val="00A33D93"/>
    <w:rsid w:val="00A340C2"/>
    <w:rsid w:val="00A348BF"/>
    <w:rsid w:val="00A34D2F"/>
    <w:rsid w:val="00A3520F"/>
    <w:rsid w:val="00A37DA9"/>
    <w:rsid w:val="00A40382"/>
    <w:rsid w:val="00A421E7"/>
    <w:rsid w:val="00A42658"/>
    <w:rsid w:val="00A434B5"/>
    <w:rsid w:val="00A43645"/>
    <w:rsid w:val="00A4399A"/>
    <w:rsid w:val="00A43EBB"/>
    <w:rsid w:val="00A46726"/>
    <w:rsid w:val="00A4675D"/>
    <w:rsid w:val="00A470B8"/>
    <w:rsid w:val="00A502F1"/>
    <w:rsid w:val="00A51A91"/>
    <w:rsid w:val="00A5209A"/>
    <w:rsid w:val="00A5233E"/>
    <w:rsid w:val="00A526EF"/>
    <w:rsid w:val="00A54046"/>
    <w:rsid w:val="00A54BA9"/>
    <w:rsid w:val="00A54E22"/>
    <w:rsid w:val="00A556AF"/>
    <w:rsid w:val="00A56CDF"/>
    <w:rsid w:val="00A56EE3"/>
    <w:rsid w:val="00A60529"/>
    <w:rsid w:val="00A60916"/>
    <w:rsid w:val="00A61C8C"/>
    <w:rsid w:val="00A630A5"/>
    <w:rsid w:val="00A645C4"/>
    <w:rsid w:val="00A655F9"/>
    <w:rsid w:val="00A663E3"/>
    <w:rsid w:val="00A67C03"/>
    <w:rsid w:val="00A71AF5"/>
    <w:rsid w:val="00A732D4"/>
    <w:rsid w:val="00A736AC"/>
    <w:rsid w:val="00A73C86"/>
    <w:rsid w:val="00A750DB"/>
    <w:rsid w:val="00A7511B"/>
    <w:rsid w:val="00A75596"/>
    <w:rsid w:val="00A75B01"/>
    <w:rsid w:val="00A76FEE"/>
    <w:rsid w:val="00A81008"/>
    <w:rsid w:val="00A811D4"/>
    <w:rsid w:val="00A8167D"/>
    <w:rsid w:val="00A82547"/>
    <w:rsid w:val="00A827DA"/>
    <w:rsid w:val="00A8407A"/>
    <w:rsid w:val="00A8493B"/>
    <w:rsid w:val="00A85B00"/>
    <w:rsid w:val="00A860A1"/>
    <w:rsid w:val="00A87610"/>
    <w:rsid w:val="00A90AC6"/>
    <w:rsid w:val="00A927A9"/>
    <w:rsid w:val="00A92B22"/>
    <w:rsid w:val="00A945DC"/>
    <w:rsid w:val="00A9461D"/>
    <w:rsid w:val="00A9485E"/>
    <w:rsid w:val="00A95097"/>
    <w:rsid w:val="00A96CA4"/>
    <w:rsid w:val="00A96E87"/>
    <w:rsid w:val="00A96ED6"/>
    <w:rsid w:val="00AA0B1E"/>
    <w:rsid w:val="00AA1782"/>
    <w:rsid w:val="00AA37EE"/>
    <w:rsid w:val="00AA48C0"/>
    <w:rsid w:val="00AA50FD"/>
    <w:rsid w:val="00AB02E2"/>
    <w:rsid w:val="00AB0D50"/>
    <w:rsid w:val="00AB1E21"/>
    <w:rsid w:val="00AB3FE1"/>
    <w:rsid w:val="00AC0514"/>
    <w:rsid w:val="00AC0740"/>
    <w:rsid w:val="00AC0AA6"/>
    <w:rsid w:val="00AC1DE4"/>
    <w:rsid w:val="00AC247D"/>
    <w:rsid w:val="00AC4368"/>
    <w:rsid w:val="00AC5BBE"/>
    <w:rsid w:val="00AC62D2"/>
    <w:rsid w:val="00AC76E6"/>
    <w:rsid w:val="00AD01A2"/>
    <w:rsid w:val="00AD18F0"/>
    <w:rsid w:val="00AD2912"/>
    <w:rsid w:val="00AD3294"/>
    <w:rsid w:val="00AD34CA"/>
    <w:rsid w:val="00AD3708"/>
    <w:rsid w:val="00AD3A12"/>
    <w:rsid w:val="00AD5D03"/>
    <w:rsid w:val="00AD5EDD"/>
    <w:rsid w:val="00AD65DA"/>
    <w:rsid w:val="00AD6F77"/>
    <w:rsid w:val="00AE149E"/>
    <w:rsid w:val="00AE310B"/>
    <w:rsid w:val="00AE3B9F"/>
    <w:rsid w:val="00AE43F0"/>
    <w:rsid w:val="00AF0234"/>
    <w:rsid w:val="00AF1D5B"/>
    <w:rsid w:val="00AF3D14"/>
    <w:rsid w:val="00AF4169"/>
    <w:rsid w:val="00AF4A13"/>
    <w:rsid w:val="00AF516D"/>
    <w:rsid w:val="00AF576A"/>
    <w:rsid w:val="00AF57AE"/>
    <w:rsid w:val="00AF59F7"/>
    <w:rsid w:val="00B00DCD"/>
    <w:rsid w:val="00B032FA"/>
    <w:rsid w:val="00B0476F"/>
    <w:rsid w:val="00B05F57"/>
    <w:rsid w:val="00B061DE"/>
    <w:rsid w:val="00B06E4B"/>
    <w:rsid w:val="00B10DC0"/>
    <w:rsid w:val="00B11984"/>
    <w:rsid w:val="00B174DA"/>
    <w:rsid w:val="00B208F2"/>
    <w:rsid w:val="00B22C7A"/>
    <w:rsid w:val="00B2351D"/>
    <w:rsid w:val="00B23E40"/>
    <w:rsid w:val="00B250A3"/>
    <w:rsid w:val="00B2516D"/>
    <w:rsid w:val="00B25644"/>
    <w:rsid w:val="00B25C5C"/>
    <w:rsid w:val="00B27534"/>
    <w:rsid w:val="00B27E32"/>
    <w:rsid w:val="00B309A7"/>
    <w:rsid w:val="00B30FDD"/>
    <w:rsid w:val="00B32A2D"/>
    <w:rsid w:val="00B3394C"/>
    <w:rsid w:val="00B34972"/>
    <w:rsid w:val="00B34E7D"/>
    <w:rsid w:val="00B3624D"/>
    <w:rsid w:val="00B40803"/>
    <w:rsid w:val="00B4109E"/>
    <w:rsid w:val="00B41733"/>
    <w:rsid w:val="00B422C9"/>
    <w:rsid w:val="00B429EB"/>
    <w:rsid w:val="00B42D1E"/>
    <w:rsid w:val="00B4392F"/>
    <w:rsid w:val="00B43C72"/>
    <w:rsid w:val="00B45A83"/>
    <w:rsid w:val="00B4635F"/>
    <w:rsid w:val="00B46A27"/>
    <w:rsid w:val="00B5015F"/>
    <w:rsid w:val="00B5041F"/>
    <w:rsid w:val="00B506E8"/>
    <w:rsid w:val="00B51591"/>
    <w:rsid w:val="00B543D5"/>
    <w:rsid w:val="00B55866"/>
    <w:rsid w:val="00B55904"/>
    <w:rsid w:val="00B57525"/>
    <w:rsid w:val="00B60CC4"/>
    <w:rsid w:val="00B60E4D"/>
    <w:rsid w:val="00B61C61"/>
    <w:rsid w:val="00B61F3F"/>
    <w:rsid w:val="00B62091"/>
    <w:rsid w:val="00B627FD"/>
    <w:rsid w:val="00B6469A"/>
    <w:rsid w:val="00B65127"/>
    <w:rsid w:val="00B6567A"/>
    <w:rsid w:val="00B66392"/>
    <w:rsid w:val="00B666E8"/>
    <w:rsid w:val="00B67598"/>
    <w:rsid w:val="00B67F1C"/>
    <w:rsid w:val="00B70119"/>
    <w:rsid w:val="00B70571"/>
    <w:rsid w:val="00B707C0"/>
    <w:rsid w:val="00B714B5"/>
    <w:rsid w:val="00B71912"/>
    <w:rsid w:val="00B7374B"/>
    <w:rsid w:val="00B777E2"/>
    <w:rsid w:val="00B77CDF"/>
    <w:rsid w:val="00B80079"/>
    <w:rsid w:val="00B80A73"/>
    <w:rsid w:val="00B81074"/>
    <w:rsid w:val="00B81240"/>
    <w:rsid w:val="00B814D8"/>
    <w:rsid w:val="00B8263C"/>
    <w:rsid w:val="00B828B6"/>
    <w:rsid w:val="00B83D61"/>
    <w:rsid w:val="00B858CF"/>
    <w:rsid w:val="00B90889"/>
    <w:rsid w:val="00B91538"/>
    <w:rsid w:val="00B9334E"/>
    <w:rsid w:val="00B93494"/>
    <w:rsid w:val="00B93676"/>
    <w:rsid w:val="00B949AD"/>
    <w:rsid w:val="00B959E6"/>
    <w:rsid w:val="00B95AD7"/>
    <w:rsid w:val="00BA0DA2"/>
    <w:rsid w:val="00BA3A24"/>
    <w:rsid w:val="00BA4FB5"/>
    <w:rsid w:val="00BA61A1"/>
    <w:rsid w:val="00BA704E"/>
    <w:rsid w:val="00BA7071"/>
    <w:rsid w:val="00BB19FC"/>
    <w:rsid w:val="00BB1F93"/>
    <w:rsid w:val="00BB38D1"/>
    <w:rsid w:val="00BB4F04"/>
    <w:rsid w:val="00BB6302"/>
    <w:rsid w:val="00BC28B0"/>
    <w:rsid w:val="00BC38A7"/>
    <w:rsid w:val="00BC47B0"/>
    <w:rsid w:val="00BD03A0"/>
    <w:rsid w:val="00BD0575"/>
    <w:rsid w:val="00BD38B1"/>
    <w:rsid w:val="00BD6B3A"/>
    <w:rsid w:val="00BE038A"/>
    <w:rsid w:val="00BE5717"/>
    <w:rsid w:val="00BE5CDA"/>
    <w:rsid w:val="00BE6598"/>
    <w:rsid w:val="00BE73ED"/>
    <w:rsid w:val="00BF00B0"/>
    <w:rsid w:val="00BF053F"/>
    <w:rsid w:val="00BF05D7"/>
    <w:rsid w:val="00BF293A"/>
    <w:rsid w:val="00BF3FF0"/>
    <w:rsid w:val="00BF44C7"/>
    <w:rsid w:val="00BF4B42"/>
    <w:rsid w:val="00BF5AD8"/>
    <w:rsid w:val="00BF7E6F"/>
    <w:rsid w:val="00C00C38"/>
    <w:rsid w:val="00C018E4"/>
    <w:rsid w:val="00C02212"/>
    <w:rsid w:val="00C02F49"/>
    <w:rsid w:val="00C03148"/>
    <w:rsid w:val="00C03E93"/>
    <w:rsid w:val="00C06E41"/>
    <w:rsid w:val="00C072DB"/>
    <w:rsid w:val="00C074BE"/>
    <w:rsid w:val="00C11657"/>
    <w:rsid w:val="00C124DC"/>
    <w:rsid w:val="00C13B59"/>
    <w:rsid w:val="00C140DE"/>
    <w:rsid w:val="00C176B5"/>
    <w:rsid w:val="00C17DB9"/>
    <w:rsid w:val="00C21554"/>
    <w:rsid w:val="00C22912"/>
    <w:rsid w:val="00C24239"/>
    <w:rsid w:val="00C24AA5"/>
    <w:rsid w:val="00C24EA4"/>
    <w:rsid w:val="00C265BE"/>
    <w:rsid w:val="00C27561"/>
    <w:rsid w:val="00C27BC2"/>
    <w:rsid w:val="00C3076F"/>
    <w:rsid w:val="00C30D24"/>
    <w:rsid w:val="00C32253"/>
    <w:rsid w:val="00C32D8B"/>
    <w:rsid w:val="00C33692"/>
    <w:rsid w:val="00C344DD"/>
    <w:rsid w:val="00C36550"/>
    <w:rsid w:val="00C40AB9"/>
    <w:rsid w:val="00C42ED1"/>
    <w:rsid w:val="00C435EE"/>
    <w:rsid w:val="00C43732"/>
    <w:rsid w:val="00C44080"/>
    <w:rsid w:val="00C44F52"/>
    <w:rsid w:val="00C459A0"/>
    <w:rsid w:val="00C47113"/>
    <w:rsid w:val="00C506FC"/>
    <w:rsid w:val="00C51FBC"/>
    <w:rsid w:val="00C53B4B"/>
    <w:rsid w:val="00C54683"/>
    <w:rsid w:val="00C54D4C"/>
    <w:rsid w:val="00C56107"/>
    <w:rsid w:val="00C620AB"/>
    <w:rsid w:val="00C628BA"/>
    <w:rsid w:val="00C648A1"/>
    <w:rsid w:val="00C651A9"/>
    <w:rsid w:val="00C652F0"/>
    <w:rsid w:val="00C65C96"/>
    <w:rsid w:val="00C66C9B"/>
    <w:rsid w:val="00C674C1"/>
    <w:rsid w:val="00C7005E"/>
    <w:rsid w:val="00C704C2"/>
    <w:rsid w:val="00C729A4"/>
    <w:rsid w:val="00C72D26"/>
    <w:rsid w:val="00C733A1"/>
    <w:rsid w:val="00C7395D"/>
    <w:rsid w:val="00C73BD8"/>
    <w:rsid w:val="00C740CA"/>
    <w:rsid w:val="00C74548"/>
    <w:rsid w:val="00C8056B"/>
    <w:rsid w:val="00C82D67"/>
    <w:rsid w:val="00C82F52"/>
    <w:rsid w:val="00C841B7"/>
    <w:rsid w:val="00C84B91"/>
    <w:rsid w:val="00C84E40"/>
    <w:rsid w:val="00C87458"/>
    <w:rsid w:val="00C87716"/>
    <w:rsid w:val="00C877CA"/>
    <w:rsid w:val="00C901A4"/>
    <w:rsid w:val="00C92685"/>
    <w:rsid w:val="00C931C1"/>
    <w:rsid w:val="00C9346E"/>
    <w:rsid w:val="00C9354E"/>
    <w:rsid w:val="00C95608"/>
    <w:rsid w:val="00C96509"/>
    <w:rsid w:val="00C97595"/>
    <w:rsid w:val="00C975F9"/>
    <w:rsid w:val="00CA0C91"/>
    <w:rsid w:val="00CA0D19"/>
    <w:rsid w:val="00CA113A"/>
    <w:rsid w:val="00CA1C99"/>
    <w:rsid w:val="00CA32A8"/>
    <w:rsid w:val="00CA4779"/>
    <w:rsid w:val="00CA5719"/>
    <w:rsid w:val="00CA6E8A"/>
    <w:rsid w:val="00CA7C91"/>
    <w:rsid w:val="00CB04FE"/>
    <w:rsid w:val="00CB09A1"/>
    <w:rsid w:val="00CB0FFD"/>
    <w:rsid w:val="00CB1847"/>
    <w:rsid w:val="00CB375A"/>
    <w:rsid w:val="00CB3A52"/>
    <w:rsid w:val="00CB482A"/>
    <w:rsid w:val="00CB52B6"/>
    <w:rsid w:val="00CB7918"/>
    <w:rsid w:val="00CC0BCE"/>
    <w:rsid w:val="00CC1A59"/>
    <w:rsid w:val="00CC2D30"/>
    <w:rsid w:val="00CC2F5C"/>
    <w:rsid w:val="00CC497C"/>
    <w:rsid w:val="00CC4F33"/>
    <w:rsid w:val="00CC4FAA"/>
    <w:rsid w:val="00CC5B24"/>
    <w:rsid w:val="00CC5C41"/>
    <w:rsid w:val="00CC61A4"/>
    <w:rsid w:val="00CC643B"/>
    <w:rsid w:val="00CD2730"/>
    <w:rsid w:val="00CD6CFB"/>
    <w:rsid w:val="00CD6EE2"/>
    <w:rsid w:val="00CD7623"/>
    <w:rsid w:val="00CE08FD"/>
    <w:rsid w:val="00CE09F9"/>
    <w:rsid w:val="00CE0CD4"/>
    <w:rsid w:val="00CE1050"/>
    <w:rsid w:val="00CE3E6A"/>
    <w:rsid w:val="00CE4284"/>
    <w:rsid w:val="00CE6016"/>
    <w:rsid w:val="00CF1B78"/>
    <w:rsid w:val="00CF529B"/>
    <w:rsid w:val="00CF554B"/>
    <w:rsid w:val="00CF58B7"/>
    <w:rsid w:val="00D00988"/>
    <w:rsid w:val="00D03974"/>
    <w:rsid w:val="00D04CAB"/>
    <w:rsid w:val="00D05370"/>
    <w:rsid w:val="00D056DA"/>
    <w:rsid w:val="00D05779"/>
    <w:rsid w:val="00D0691F"/>
    <w:rsid w:val="00D102FE"/>
    <w:rsid w:val="00D10329"/>
    <w:rsid w:val="00D10411"/>
    <w:rsid w:val="00D11EB9"/>
    <w:rsid w:val="00D12701"/>
    <w:rsid w:val="00D13333"/>
    <w:rsid w:val="00D15A57"/>
    <w:rsid w:val="00D17CA1"/>
    <w:rsid w:val="00D22565"/>
    <w:rsid w:val="00D23109"/>
    <w:rsid w:val="00D260CD"/>
    <w:rsid w:val="00D277CF"/>
    <w:rsid w:val="00D31A50"/>
    <w:rsid w:val="00D32DDE"/>
    <w:rsid w:val="00D331F6"/>
    <w:rsid w:val="00D33C16"/>
    <w:rsid w:val="00D35C53"/>
    <w:rsid w:val="00D37554"/>
    <w:rsid w:val="00D418C9"/>
    <w:rsid w:val="00D42F2C"/>
    <w:rsid w:val="00D52C04"/>
    <w:rsid w:val="00D53E01"/>
    <w:rsid w:val="00D57812"/>
    <w:rsid w:val="00D607E6"/>
    <w:rsid w:val="00D61ED0"/>
    <w:rsid w:val="00D6355E"/>
    <w:rsid w:val="00D637AC"/>
    <w:rsid w:val="00D63A95"/>
    <w:rsid w:val="00D63F31"/>
    <w:rsid w:val="00D6544E"/>
    <w:rsid w:val="00D66FFD"/>
    <w:rsid w:val="00D718A3"/>
    <w:rsid w:val="00D72834"/>
    <w:rsid w:val="00D73530"/>
    <w:rsid w:val="00D7373C"/>
    <w:rsid w:val="00D7523F"/>
    <w:rsid w:val="00D77482"/>
    <w:rsid w:val="00D77D07"/>
    <w:rsid w:val="00D80119"/>
    <w:rsid w:val="00D801B8"/>
    <w:rsid w:val="00D80453"/>
    <w:rsid w:val="00D86EED"/>
    <w:rsid w:val="00D870B1"/>
    <w:rsid w:val="00D8732E"/>
    <w:rsid w:val="00D87D9A"/>
    <w:rsid w:val="00D90EBE"/>
    <w:rsid w:val="00D92260"/>
    <w:rsid w:val="00D923A7"/>
    <w:rsid w:val="00D92597"/>
    <w:rsid w:val="00D9406C"/>
    <w:rsid w:val="00D94D5D"/>
    <w:rsid w:val="00D97A4D"/>
    <w:rsid w:val="00DA0B71"/>
    <w:rsid w:val="00DA11B9"/>
    <w:rsid w:val="00DA1C71"/>
    <w:rsid w:val="00DA25F9"/>
    <w:rsid w:val="00DA4E8A"/>
    <w:rsid w:val="00DA64FA"/>
    <w:rsid w:val="00DA655E"/>
    <w:rsid w:val="00DA675F"/>
    <w:rsid w:val="00DB0E87"/>
    <w:rsid w:val="00DB101B"/>
    <w:rsid w:val="00DB2061"/>
    <w:rsid w:val="00DB21DA"/>
    <w:rsid w:val="00DB2695"/>
    <w:rsid w:val="00DB3E1E"/>
    <w:rsid w:val="00DB449C"/>
    <w:rsid w:val="00DB6025"/>
    <w:rsid w:val="00DB68A2"/>
    <w:rsid w:val="00DB7089"/>
    <w:rsid w:val="00DC14C5"/>
    <w:rsid w:val="00DC34CF"/>
    <w:rsid w:val="00DC3597"/>
    <w:rsid w:val="00DC6B45"/>
    <w:rsid w:val="00DC763B"/>
    <w:rsid w:val="00DD0AC9"/>
    <w:rsid w:val="00DD0FEF"/>
    <w:rsid w:val="00DD4EE7"/>
    <w:rsid w:val="00DD764D"/>
    <w:rsid w:val="00DD7AD4"/>
    <w:rsid w:val="00DE0A56"/>
    <w:rsid w:val="00DE0F6F"/>
    <w:rsid w:val="00DE336F"/>
    <w:rsid w:val="00DE35D0"/>
    <w:rsid w:val="00DE389C"/>
    <w:rsid w:val="00DE6285"/>
    <w:rsid w:val="00DE7561"/>
    <w:rsid w:val="00DE7C0B"/>
    <w:rsid w:val="00DF21B5"/>
    <w:rsid w:val="00DF4440"/>
    <w:rsid w:val="00DF4E96"/>
    <w:rsid w:val="00DF632C"/>
    <w:rsid w:val="00DF6579"/>
    <w:rsid w:val="00DF6735"/>
    <w:rsid w:val="00DF67E0"/>
    <w:rsid w:val="00E001DB"/>
    <w:rsid w:val="00E00ED8"/>
    <w:rsid w:val="00E030FD"/>
    <w:rsid w:val="00E0434E"/>
    <w:rsid w:val="00E05C07"/>
    <w:rsid w:val="00E06758"/>
    <w:rsid w:val="00E10473"/>
    <w:rsid w:val="00E104B4"/>
    <w:rsid w:val="00E11112"/>
    <w:rsid w:val="00E11D56"/>
    <w:rsid w:val="00E120ED"/>
    <w:rsid w:val="00E128D4"/>
    <w:rsid w:val="00E12D16"/>
    <w:rsid w:val="00E132C6"/>
    <w:rsid w:val="00E155A5"/>
    <w:rsid w:val="00E16BC3"/>
    <w:rsid w:val="00E173A8"/>
    <w:rsid w:val="00E20F35"/>
    <w:rsid w:val="00E21A26"/>
    <w:rsid w:val="00E22962"/>
    <w:rsid w:val="00E22C24"/>
    <w:rsid w:val="00E237BC"/>
    <w:rsid w:val="00E26FA3"/>
    <w:rsid w:val="00E27431"/>
    <w:rsid w:val="00E3179B"/>
    <w:rsid w:val="00E3293C"/>
    <w:rsid w:val="00E332C7"/>
    <w:rsid w:val="00E335E1"/>
    <w:rsid w:val="00E337ED"/>
    <w:rsid w:val="00E34588"/>
    <w:rsid w:val="00E348EB"/>
    <w:rsid w:val="00E3594F"/>
    <w:rsid w:val="00E36C8E"/>
    <w:rsid w:val="00E377BB"/>
    <w:rsid w:val="00E45227"/>
    <w:rsid w:val="00E4764F"/>
    <w:rsid w:val="00E47A24"/>
    <w:rsid w:val="00E50B9C"/>
    <w:rsid w:val="00E51FED"/>
    <w:rsid w:val="00E55CB5"/>
    <w:rsid w:val="00E569D4"/>
    <w:rsid w:val="00E57562"/>
    <w:rsid w:val="00E60C60"/>
    <w:rsid w:val="00E622C0"/>
    <w:rsid w:val="00E62951"/>
    <w:rsid w:val="00E62A56"/>
    <w:rsid w:val="00E6543E"/>
    <w:rsid w:val="00E669AE"/>
    <w:rsid w:val="00E67590"/>
    <w:rsid w:val="00E67993"/>
    <w:rsid w:val="00E7052B"/>
    <w:rsid w:val="00E71786"/>
    <w:rsid w:val="00E73909"/>
    <w:rsid w:val="00E75352"/>
    <w:rsid w:val="00E75ED3"/>
    <w:rsid w:val="00E80E39"/>
    <w:rsid w:val="00E84189"/>
    <w:rsid w:val="00E848BE"/>
    <w:rsid w:val="00E85B59"/>
    <w:rsid w:val="00E86B05"/>
    <w:rsid w:val="00E90D63"/>
    <w:rsid w:val="00E9205E"/>
    <w:rsid w:val="00E93731"/>
    <w:rsid w:val="00E9421B"/>
    <w:rsid w:val="00E94E0A"/>
    <w:rsid w:val="00E9663C"/>
    <w:rsid w:val="00E96E73"/>
    <w:rsid w:val="00EA0AB7"/>
    <w:rsid w:val="00EA1C70"/>
    <w:rsid w:val="00EA4A02"/>
    <w:rsid w:val="00EA4A6F"/>
    <w:rsid w:val="00EA4D45"/>
    <w:rsid w:val="00EA6793"/>
    <w:rsid w:val="00EA7C1A"/>
    <w:rsid w:val="00EA7DAF"/>
    <w:rsid w:val="00EB05A6"/>
    <w:rsid w:val="00EB0E0C"/>
    <w:rsid w:val="00EB14DA"/>
    <w:rsid w:val="00EB1F4E"/>
    <w:rsid w:val="00EB3B0F"/>
    <w:rsid w:val="00EB3C17"/>
    <w:rsid w:val="00EB4A7E"/>
    <w:rsid w:val="00EB4D7E"/>
    <w:rsid w:val="00EB4E1D"/>
    <w:rsid w:val="00EC08C6"/>
    <w:rsid w:val="00EC469A"/>
    <w:rsid w:val="00EC65AC"/>
    <w:rsid w:val="00EC6897"/>
    <w:rsid w:val="00EC76BD"/>
    <w:rsid w:val="00EC7CCF"/>
    <w:rsid w:val="00ED08E8"/>
    <w:rsid w:val="00ED1D92"/>
    <w:rsid w:val="00ED2316"/>
    <w:rsid w:val="00ED2CCD"/>
    <w:rsid w:val="00ED2DE1"/>
    <w:rsid w:val="00ED2E2A"/>
    <w:rsid w:val="00ED683A"/>
    <w:rsid w:val="00ED71C7"/>
    <w:rsid w:val="00ED7996"/>
    <w:rsid w:val="00EE0B1B"/>
    <w:rsid w:val="00EE10DA"/>
    <w:rsid w:val="00EE12FB"/>
    <w:rsid w:val="00EE2703"/>
    <w:rsid w:val="00EE2723"/>
    <w:rsid w:val="00EE61D9"/>
    <w:rsid w:val="00EF0399"/>
    <w:rsid w:val="00EF0EF1"/>
    <w:rsid w:val="00EF2A25"/>
    <w:rsid w:val="00EF489E"/>
    <w:rsid w:val="00EF616B"/>
    <w:rsid w:val="00EF672C"/>
    <w:rsid w:val="00EF7BA4"/>
    <w:rsid w:val="00EF7F09"/>
    <w:rsid w:val="00F0095F"/>
    <w:rsid w:val="00F00C38"/>
    <w:rsid w:val="00F00F1F"/>
    <w:rsid w:val="00F0252D"/>
    <w:rsid w:val="00F029B5"/>
    <w:rsid w:val="00F03FDF"/>
    <w:rsid w:val="00F0408F"/>
    <w:rsid w:val="00F04C93"/>
    <w:rsid w:val="00F05169"/>
    <w:rsid w:val="00F065AF"/>
    <w:rsid w:val="00F0778F"/>
    <w:rsid w:val="00F10376"/>
    <w:rsid w:val="00F10D34"/>
    <w:rsid w:val="00F11406"/>
    <w:rsid w:val="00F123C1"/>
    <w:rsid w:val="00F1323D"/>
    <w:rsid w:val="00F1462B"/>
    <w:rsid w:val="00F14B82"/>
    <w:rsid w:val="00F156E9"/>
    <w:rsid w:val="00F169B1"/>
    <w:rsid w:val="00F16F06"/>
    <w:rsid w:val="00F1739E"/>
    <w:rsid w:val="00F17BA0"/>
    <w:rsid w:val="00F17F23"/>
    <w:rsid w:val="00F200A0"/>
    <w:rsid w:val="00F205C2"/>
    <w:rsid w:val="00F2141F"/>
    <w:rsid w:val="00F21516"/>
    <w:rsid w:val="00F21633"/>
    <w:rsid w:val="00F23A8E"/>
    <w:rsid w:val="00F24C13"/>
    <w:rsid w:val="00F260DF"/>
    <w:rsid w:val="00F26A50"/>
    <w:rsid w:val="00F270D5"/>
    <w:rsid w:val="00F315FA"/>
    <w:rsid w:val="00F3219B"/>
    <w:rsid w:val="00F36953"/>
    <w:rsid w:val="00F43841"/>
    <w:rsid w:val="00F44968"/>
    <w:rsid w:val="00F5107F"/>
    <w:rsid w:val="00F51221"/>
    <w:rsid w:val="00F5286E"/>
    <w:rsid w:val="00F52B30"/>
    <w:rsid w:val="00F53966"/>
    <w:rsid w:val="00F552DD"/>
    <w:rsid w:val="00F55502"/>
    <w:rsid w:val="00F55B86"/>
    <w:rsid w:val="00F55E5F"/>
    <w:rsid w:val="00F56880"/>
    <w:rsid w:val="00F56F79"/>
    <w:rsid w:val="00F62982"/>
    <w:rsid w:val="00F62DD2"/>
    <w:rsid w:val="00F65F66"/>
    <w:rsid w:val="00F6649F"/>
    <w:rsid w:val="00F6732C"/>
    <w:rsid w:val="00F678FC"/>
    <w:rsid w:val="00F71F7A"/>
    <w:rsid w:val="00F72BA6"/>
    <w:rsid w:val="00F75A72"/>
    <w:rsid w:val="00F75D02"/>
    <w:rsid w:val="00F761D1"/>
    <w:rsid w:val="00F76ADD"/>
    <w:rsid w:val="00F77907"/>
    <w:rsid w:val="00F77BA6"/>
    <w:rsid w:val="00F810B0"/>
    <w:rsid w:val="00F81569"/>
    <w:rsid w:val="00F81A9A"/>
    <w:rsid w:val="00F81FF8"/>
    <w:rsid w:val="00F825A5"/>
    <w:rsid w:val="00F852D3"/>
    <w:rsid w:val="00F85BE9"/>
    <w:rsid w:val="00F85CE7"/>
    <w:rsid w:val="00F866B1"/>
    <w:rsid w:val="00F86A7A"/>
    <w:rsid w:val="00F87659"/>
    <w:rsid w:val="00F87C51"/>
    <w:rsid w:val="00F94944"/>
    <w:rsid w:val="00F95D60"/>
    <w:rsid w:val="00F96D1B"/>
    <w:rsid w:val="00FA0280"/>
    <w:rsid w:val="00FA0C26"/>
    <w:rsid w:val="00FA2A3A"/>
    <w:rsid w:val="00FA3884"/>
    <w:rsid w:val="00FA3D5F"/>
    <w:rsid w:val="00FA3E6A"/>
    <w:rsid w:val="00FA51CC"/>
    <w:rsid w:val="00FA624F"/>
    <w:rsid w:val="00FA73D4"/>
    <w:rsid w:val="00FB0477"/>
    <w:rsid w:val="00FB36C0"/>
    <w:rsid w:val="00FB458C"/>
    <w:rsid w:val="00FB4D26"/>
    <w:rsid w:val="00FB5A04"/>
    <w:rsid w:val="00FB7BA4"/>
    <w:rsid w:val="00FB7CEB"/>
    <w:rsid w:val="00FC2ACE"/>
    <w:rsid w:val="00FC2C73"/>
    <w:rsid w:val="00FC6FD9"/>
    <w:rsid w:val="00FC7FEB"/>
    <w:rsid w:val="00FD0A7B"/>
    <w:rsid w:val="00FD2C7E"/>
    <w:rsid w:val="00FD464E"/>
    <w:rsid w:val="00FD4B99"/>
    <w:rsid w:val="00FD63B5"/>
    <w:rsid w:val="00FE148E"/>
    <w:rsid w:val="00FE1CEC"/>
    <w:rsid w:val="00FE2C49"/>
    <w:rsid w:val="00FE2DF3"/>
    <w:rsid w:val="00FE320A"/>
    <w:rsid w:val="00FE34AC"/>
    <w:rsid w:val="00FE3CEA"/>
    <w:rsid w:val="00FE438B"/>
    <w:rsid w:val="00FE5582"/>
    <w:rsid w:val="00FE58A4"/>
    <w:rsid w:val="00FF24E3"/>
    <w:rsid w:val="00FF2731"/>
    <w:rsid w:val="00FF2A24"/>
    <w:rsid w:val="00FF4FDB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56FEB"/>
  <w15:docId w15:val="{0B3A7440-7623-47AE-A923-D1EDCC45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23"/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both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Verdana" w:hAnsi="Verdana"/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Verdana" w:hAnsi="Verdana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4962"/>
      </w:tabs>
      <w:jc w:val="both"/>
    </w:pPr>
    <w:rPr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semiHidden/>
    <w:pPr>
      <w:jc w:val="both"/>
    </w:pPr>
    <w:rPr>
      <w:rFonts w:ascii="Verdana" w:hAnsi="Verdana"/>
      <w:i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116BCC"/>
    <w:pPr>
      <w:ind w:left="708"/>
    </w:pPr>
  </w:style>
  <w:style w:type="character" w:customStyle="1" w:styleId="BodyText2Char">
    <w:name w:val="Body Text 2 Char"/>
    <w:link w:val="BodyText2"/>
    <w:semiHidden/>
    <w:rsid w:val="00E60C60"/>
    <w:rPr>
      <w:rFonts w:ascii="Verdana" w:hAnsi="Verdana"/>
      <w:i/>
      <w:noProof/>
      <w:sz w:val="22"/>
    </w:rPr>
  </w:style>
  <w:style w:type="character" w:customStyle="1" w:styleId="Heading4Char">
    <w:name w:val="Heading 4 Char"/>
    <w:basedOn w:val="DefaultParagraphFont"/>
    <w:link w:val="Heading4"/>
    <w:rsid w:val="00697490"/>
    <w:rPr>
      <w:b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6EBCB-CFE8-43C4-B8DD-7B1A60E0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6555</Words>
  <Characters>37369</Characters>
  <Application>Microsoft Office Word</Application>
  <DocSecurity>0</DocSecurity>
  <Lines>311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N.P. BRIJUNI</Company>
  <LinksUpToDate>false</LinksUpToDate>
  <CharactersWithSpaces>43837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...</dc:creator>
  <cp:lastModifiedBy>Mira Tomašić</cp:lastModifiedBy>
  <cp:revision>4</cp:revision>
  <cp:lastPrinted>2025-01-31T11:31:00Z</cp:lastPrinted>
  <dcterms:created xsi:type="dcterms:W3CDTF">2025-02-07T11:05:00Z</dcterms:created>
  <dcterms:modified xsi:type="dcterms:W3CDTF">2025-02-07T11:22:00Z</dcterms:modified>
</cp:coreProperties>
</file>